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32" w:lineRule="atLeast"/>
        <w:ind w:left="0" w:right="0"/>
        <w:jc w:val="center"/>
        <w:rPr>
          <w:color w:val="000000"/>
          <w:sz w:val="38"/>
          <w:szCs w:val="38"/>
          <w:bdr w:val="none" w:color="auto" w:sz="0" w:space="0"/>
        </w:rPr>
      </w:pPr>
      <w:r>
        <w:rPr>
          <w:color w:val="000000"/>
          <w:sz w:val="38"/>
          <w:szCs w:val="38"/>
          <w:bdr w:val="none" w:color="auto" w:sz="0" w:space="0"/>
        </w:rPr>
        <w:t>安徽师范大学2022年招聘公告</w:t>
      </w:r>
    </w:p>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为做好2022年度安徽师范大学人才招聘工作，根据《事业单位人事管理条例》(国务院令第652号)和中共安徽省委组织部、安徽省人力资源社会保障厅《关于印发(安徽省事业单位公开招聘人员暂行办法〉的通知》(皖人社发〔2010〕</w:t>
      </w:r>
      <w:bookmarkStart w:id="0" w:name="_GoBack"/>
      <w:bookmarkEnd w:id="0"/>
      <w:r>
        <w:rPr>
          <w:color w:val="000000"/>
          <w:sz w:val="24"/>
          <w:szCs w:val="24"/>
          <w:bdr w:val="none" w:color="auto" w:sz="0" w:space="0"/>
        </w:rPr>
        <w:t>78号)规定，现有关事项预公告如下:</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color w:val="FFFFFF"/>
          <w:sz w:val="24"/>
          <w:szCs w:val="24"/>
        </w:rPr>
      </w:pPr>
      <w:r>
        <w:rPr>
          <w:color w:val="FFFFFF"/>
          <w:sz w:val="24"/>
          <w:szCs w:val="24"/>
          <w:bdr w:val="none" w:color="auto" w:sz="0" w:space="0"/>
          <w:shd w:val="clear" w:fill="1B478E"/>
        </w:rPr>
        <w:t>一、选聘原则</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(一)坚持面向社会、公开招聘。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(二)坚持考试考察、择优聘用。</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color w:val="FFFFFF"/>
          <w:sz w:val="24"/>
          <w:szCs w:val="24"/>
        </w:rPr>
      </w:pPr>
      <w:r>
        <w:rPr>
          <w:color w:val="FFFFFF"/>
          <w:sz w:val="24"/>
          <w:szCs w:val="24"/>
          <w:bdr w:val="none" w:color="auto" w:sz="0" w:space="0"/>
          <w:shd w:val="clear" w:fill="1B478E"/>
        </w:rPr>
        <w:t>二、选聘岗位</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从事教学、科研等工作，具体学科方向或专业等要求见附件。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color w:val="FFFFFF"/>
          <w:sz w:val="24"/>
          <w:szCs w:val="24"/>
        </w:rPr>
      </w:pPr>
      <w:r>
        <w:rPr>
          <w:color w:val="FFFFFF"/>
          <w:sz w:val="24"/>
          <w:szCs w:val="24"/>
          <w:bdr w:val="none" w:color="auto" w:sz="0" w:space="0"/>
          <w:shd w:val="clear" w:fill="1B478E"/>
        </w:rPr>
        <w:t>三、选聘条件</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(一)政治条件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热爱祖国，忠诚党和人民的教育事业，热爱学生，有较高的思想政治素质和职业道德水平，自觉遵守国家法律法规和学校各项规章制度，求真务实、敬业乐业、甘于奉献，能够以“四有好老师”的标准严格要求自己。</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(二)业务条件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学历和资历要求按照公布的岗位条件执行。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(三)健康条件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应具有良好的身体和心理素质，能胜任本职工作。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(四)年龄条件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博士研究生年龄不超过40周岁(1981年1月1日以后出生)，硕士研究生年龄不超过30周岁(1991年1月1日以后出生)。人文社科类高层次人才的年龄不超过50周岁(1971年1月1日后出生),自然科学类高层次人才不超过45周岁(1976年1月1日后出生)。有特殊要求的，按具体岗位要求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(五)有下列情形之一的不得报考：</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1.不符合岗位招聘条件的人员;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2.在读的全日制普通高校非应届毕业生;</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3.现役军人;</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4.经政府人力资源社会保障部门认定具有考试违纪行为且在停考期内的人员;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5.曾因犯罪受过刑事处罚的人员和曾被开除公职的人员、受到党纪政纪处分期限未满或者正在接受纪律审查的人员、处于刑事处罚期间或者正在接受司法调查尚未做出结论的人员;</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6.法律规定不得参加报考或聘用为事业单位工作人员的其他情形人员。</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color w:val="FFFFFF"/>
          <w:sz w:val="24"/>
          <w:szCs w:val="24"/>
        </w:rPr>
      </w:pPr>
      <w:r>
        <w:rPr>
          <w:color w:val="FFFFFF"/>
          <w:sz w:val="24"/>
          <w:szCs w:val="24"/>
          <w:bdr w:val="none" w:color="auto" w:sz="0" w:space="0"/>
          <w:shd w:val="clear" w:fill="1B478E"/>
        </w:rPr>
        <w:t>四、政策待遇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(一)人才安家费</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r>
        <w:rPr>
          <w:color w:val="000000"/>
          <w:sz w:val="24"/>
          <w:szCs w:val="24"/>
          <w:bdr w:val="none" w:color="auto" w:sz="0" w:space="0"/>
        </w:rPr>
        <w:t>1.对于教学科研岗位全职引进的高层次人才，学校按照《安徽师范大学引进高层次人才和团队实施办法(试行)》(校人字〔2017〕75号)提供安家费、科研支持经费等，标准如下(见表)(税前，单位为人民币，下同)：</w:t>
      </w:r>
    </w:p>
    <w:tbl>
      <w:tblPr>
        <w:tblW w:w="14152" w:type="dxa"/>
        <w:jc w:val="center"/>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Layout w:type="autofit"/>
        <w:tblCellMar>
          <w:top w:w="15" w:type="dxa"/>
          <w:left w:w="15" w:type="dxa"/>
          <w:bottom w:w="15" w:type="dxa"/>
          <w:right w:w="15" w:type="dxa"/>
        </w:tblCellMar>
      </w:tblPr>
      <w:tblGrid>
        <w:gridCol w:w="2105"/>
        <w:gridCol w:w="2244"/>
        <w:gridCol w:w="2756"/>
        <w:gridCol w:w="3051"/>
        <w:gridCol w:w="3996"/>
      </w:tblGrid>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vMerge w:val="restart"/>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层次</w:t>
            </w:r>
          </w:p>
        </w:tc>
        <w:tc>
          <w:tcPr>
            <w:tcW w:w="3048" w:type="dxa"/>
            <w:gridSpan w:val="2"/>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科研支持经费（万元）</w:t>
            </w:r>
          </w:p>
        </w:tc>
        <w:tc>
          <w:tcPr>
            <w:tcW w:w="1860" w:type="dxa"/>
            <w:vMerge w:val="restart"/>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工资福利待遇（万元/年）</w:t>
            </w:r>
          </w:p>
        </w:tc>
        <w:tc>
          <w:tcPr>
            <w:tcW w:w="2436" w:type="dxa"/>
            <w:vMerge w:val="restart"/>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安家费（万元）</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vMerge w:val="continue"/>
            <w:tcBorders>
              <w:top w:val="outset" w:color="auto" w:sz="6" w:space="0"/>
              <w:left w:val="outset" w:color="auto" w:sz="6" w:space="0"/>
              <w:bottom w:val="single" w:color="CCCCCC" w:sz="4" w:space="0"/>
              <w:right w:val="single" w:color="CCCCCC" w:sz="4" w:space="0"/>
            </w:tcBorders>
            <w:shd w:val="clear" w:color="auto" w:fill="F4F9FF"/>
            <w:vAlign w:val="center"/>
          </w:tcPr>
          <w:p>
            <w:pPr>
              <w:jc w:val="center"/>
              <w:rPr>
                <w:rFonts w:hint="eastAsia" w:ascii="宋体"/>
                <w:b/>
                <w:bCs/>
                <w:color w:val="000000"/>
                <w:sz w:val="24"/>
                <w:szCs w:val="24"/>
              </w:rPr>
            </w:pPr>
          </w:p>
        </w:tc>
        <w:tc>
          <w:tcPr>
            <w:tcW w:w="1368" w:type="dxa"/>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人文社会</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科学类</w:t>
            </w:r>
          </w:p>
        </w:tc>
        <w:tc>
          <w:tcPr>
            <w:tcW w:w="1680" w:type="dxa"/>
            <w:tcBorders>
              <w:top w:val="outset" w:color="auto" w:sz="6" w:space="0"/>
              <w:left w:val="outset" w:color="auto" w:sz="6" w:space="0"/>
              <w:bottom w:val="single" w:color="CCCCCC" w:sz="4" w:space="0"/>
              <w:right w:val="single" w:color="CCCCCC" w:sz="4" w:space="0"/>
            </w:tcBorders>
            <w:shd w:val="clear" w:color="auto" w:fill="F4F9FF"/>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color w:val="000000"/>
                <w:sz w:val="24"/>
                <w:szCs w:val="24"/>
                <w:bdr w:val="none" w:color="auto" w:sz="0" w:space="0"/>
              </w:rPr>
              <w:t>自然科学类</w:t>
            </w:r>
          </w:p>
        </w:tc>
        <w:tc>
          <w:tcPr>
            <w:tcW w:w="1860" w:type="dxa"/>
            <w:vMerge w:val="continue"/>
            <w:tcBorders>
              <w:top w:val="outset" w:color="auto" w:sz="6" w:space="0"/>
              <w:left w:val="outset" w:color="auto" w:sz="6" w:space="0"/>
              <w:bottom w:val="single" w:color="CCCCCC" w:sz="4" w:space="0"/>
              <w:right w:val="single" w:color="CCCCCC" w:sz="4" w:space="0"/>
            </w:tcBorders>
            <w:shd w:val="clear" w:color="auto" w:fill="F4F9FF"/>
            <w:vAlign w:val="center"/>
          </w:tcPr>
          <w:p>
            <w:pPr>
              <w:jc w:val="center"/>
              <w:rPr>
                <w:rFonts w:hint="eastAsia" w:ascii="宋体"/>
                <w:b/>
                <w:bCs/>
                <w:color w:val="000000"/>
                <w:sz w:val="24"/>
                <w:szCs w:val="24"/>
              </w:rPr>
            </w:pPr>
          </w:p>
        </w:tc>
        <w:tc>
          <w:tcPr>
            <w:tcW w:w="2436" w:type="dxa"/>
            <w:vMerge w:val="continue"/>
            <w:tcBorders>
              <w:top w:val="outset" w:color="auto" w:sz="6" w:space="0"/>
              <w:left w:val="outset" w:color="auto" w:sz="6" w:space="0"/>
              <w:bottom w:val="single" w:color="CCCCCC" w:sz="4" w:space="0"/>
              <w:right w:val="single" w:color="CCCCCC" w:sz="4" w:space="0"/>
            </w:tcBorders>
            <w:shd w:val="clear" w:color="auto" w:fill="F4F9FF"/>
            <w:vAlign w:val="center"/>
          </w:tcPr>
          <w:p>
            <w:pPr>
              <w:jc w:val="center"/>
              <w:rPr>
                <w:rFonts w:hint="eastAsia" w:ascii="宋体"/>
                <w:b/>
                <w:bCs/>
                <w:color w:val="000000"/>
                <w:sz w:val="24"/>
                <w:szCs w:val="24"/>
              </w:rPr>
            </w:pP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第一层次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400～600</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1500～2000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面  议</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面  议</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第二层次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150～400</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800～1500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80～100（年薪）</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面  议</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第三层次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50～150</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100～500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40～60（年薪）</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不低于60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第四层次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30～50</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50～100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30～40（年薪）</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50～60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第五层次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6</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10～20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享受校内同等人员待遇</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40～50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第六层次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4</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5～10</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享受校内同等人员待遇</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30～40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shd w:val="clear"/>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第七层次</w:t>
            </w:r>
          </w:p>
        </w:tc>
        <w:tc>
          <w:tcPr>
            <w:tcW w:w="1368"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3</w:t>
            </w:r>
          </w:p>
        </w:tc>
        <w:tc>
          <w:tcPr>
            <w:tcW w:w="168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5</w:t>
            </w:r>
          </w:p>
        </w:tc>
        <w:tc>
          <w:tcPr>
            <w:tcW w:w="1860"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享受校内同等人员待遇</w:t>
            </w:r>
          </w:p>
        </w:tc>
        <w:tc>
          <w:tcPr>
            <w:tcW w:w="2436"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重点支持专业、紧缺专业20-30，一般专业10-20</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海外人才</w:t>
            </w:r>
          </w:p>
        </w:tc>
        <w:tc>
          <w:tcPr>
            <w:tcW w:w="7344" w:type="dxa"/>
            <w:gridSpan w:val="4"/>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参照上述条件，一人一议</w:t>
            </w:r>
          </w:p>
        </w:tc>
      </w:tr>
      <w:tr>
        <w:tblPrEx>
          <w:tblBorders>
            <w:top w:val="single" w:color="CCCCCC" w:sz="4" w:space="0"/>
            <w:left w:val="single" w:color="CCCCCC" w:sz="4" w:space="0"/>
            <w:bottom w:val="outset" w:color="auto" w:sz="0" w:space="0"/>
            <w:right w:val="outset" w:color="auto" w:sz="0" w:space="0"/>
            <w:insideH w:val="outset" w:color="auto" w:sz="6" w:space="0"/>
            <w:insideV w:val="outset" w:color="auto" w:sz="6" w:space="0"/>
          </w:tblBorders>
          <w:tblCellMar>
            <w:top w:w="15" w:type="dxa"/>
            <w:left w:w="15" w:type="dxa"/>
            <w:bottom w:w="15" w:type="dxa"/>
            <w:right w:w="15" w:type="dxa"/>
          </w:tblCellMar>
        </w:tblPrEx>
        <w:trPr>
          <w:jc w:val="center"/>
        </w:trPr>
        <w:tc>
          <w:tcPr>
            <w:tcW w:w="1284" w:type="dxa"/>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rStyle w:val="11"/>
                <w:sz w:val="24"/>
                <w:szCs w:val="24"/>
                <w:bdr w:val="none" w:color="auto" w:sz="0" w:space="0"/>
              </w:rPr>
              <w:t>学术团队</w:t>
            </w:r>
          </w:p>
        </w:tc>
        <w:tc>
          <w:tcPr>
            <w:tcW w:w="7344" w:type="dxa"/>
            <w:gridSpan w:val="4"/>
            <w:tcBorders>
              <w:top w:val="outset" w:color="auto" w:sz="6" w:space="0"/>
              <w:left w:val="outset" w:color="auto" w:sz="6" w:space="0"/>
              <w:bottom w:val="single" w:color="CCCCCC" w:sz="4" w:space="0"/>
              <w:right w:val="single" w:color="CCCCCC" w:sz="4" w:space="0"/>
            </w:tcBorders>
            <w:shd w:val="clear"/>
            <w:vAlign w:val="center"/>
          </w:tcPr>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36" w:lineRule="atLeast"/>
              <w:ind w:left="0" w:right="0"/>
              <w:jc w:val="center"/>
              <w:rPr>
                <w:sz w:val="24"/>
                <w:szCs w:val="24"/>
              </w:rPr>
            </w:pPr>
            <w:r>
              <w:rPr>
                <w:sz w:val="24"/>
                <w:szCs w:val="24"/>
                <w:bdr w:val="none" w:color="auto" w:sz="0" w:space="0"/>
              </w:rPr>
              <w:t>一事一策</w:t>
            </w:r>
          </w:p>
        </w:tc>
      </w:tr>
    </w:tbl>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优秀人才安家费上浮10%，高峰学科、紧缺专业、师范及工科认证专业需引进的人才安家费上浮20%，特别优秀人才安家费上浮30%。</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2.硕士计划若能引进相应专业的博士，则按重点支持计划兑现博士安家费。非教学科研岗位引进的博士原则上不提供安家费。</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(二)住房。</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按照《安徽师范大学周转房管理办法》提供周转房。</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(三)博士配偶安置。</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对特别优秀或者急需的博士，其配偶在异地工作，学校可酌情安排配偶工作;或给予一次性经济补助，实行有偿安置。</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(四)子女教育。</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入职教师的子女可享受优质的安徽师范大学附属幼儿园、附属小学和附属中学等优质教育资源。</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(五)地方政策。</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博士享受芜湖市“紫云英”人才计划支持，可享受购房补贴最高40万元或连续享受3年每月最高7000元的生活补贴、租房补贴等优惠政策，具体以芜湖市人才政策为准。</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rFonts w:hint="eastAsia" w:ascii="微软雅黑" w:hAnsi="微软雅黑" w:eastAsia="微软雅黑" w:cs="微软雅黑"/>
          <w:i w:val="0"/>
          <w:iCs w:val="0"/>
          <w:caps w:val="0"/>
          <w:color w:val="FFFFFF"/>
          <w:spacing w:val="0"/>
          <w:sz w:val="24"/>
          <w:szCs w:val="24"/>
        </w:rPr>
      </w:pPr>
      <w:r>
        <w:rPr>
          <w:rFonts w:hint="eastAsia" w:ascii="微软雅黑" w:hAnsi="微软雅黑" w:eastAsia="微软雅黑" w:cs="微软雅黑"/>
          <w:i w:val="0"/>
          <w:iCs w:val="0"/>
          <w:caps w:val="0"/>
          <w:color w:val="FFFFFF"/>
          <w:spacing w:val="0"/>
          <w:sz w:val="24"/>
          <w:szCs w:val="24"/>
          <w:bdr w:val="none" w:color="auto" w:sz="0" w:space="0"/>
          <w:shd w:val="clear" w:fill="1B478E"/>
        </w:rPr>
        <w:t>五、招聘程序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(一)网上报名。</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应聘者进入我校网上招聘系统报名(http://210.45.192.166:8080/hire/hireNetPortal/search_zp_position.do?b_query=link)。此招聘计划自发布之日起实施，招满为止。公告发布不少7个工作日。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(二)资格审查。</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应聘岗位所在单位负责对应聘者进行资格审查，确定笔试人员名单，并通过网站公布。没有接到笔试通知的应聘者，不逐一回复，敬请谅解。</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(三)资格验证。</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来校参加考核的人员，请务必携带以下材料：应聘岗位要求的学历学位证书、毕业生就业协议书、身份证、职称证书、荣誉称号证书等材料(以上材料均为原件)，进行资格验证。凡与报考资格条件要求不符或不能按规定提供证件材料的，取消其参加考核资格。其中：</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1.属全日制2022年应届毕业生未取得毕业证书的，还须提供本人学生证原件、所在学校盖章的毕业生就业推荐表、本人关于毕业证书专业与报考岗位专业一致的书面承诺等材料。至2022年12月31日仍不能提供学历(学位)证书原件，或原件与证明材料不一致的，取消聘用资格。</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2.机关、事业单位在编正式工作人员还须按干部人事管理权限提供单位和主管部门同意报考的证明。</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(四)考核工作。</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博士及高层次等人才招聘考核可采取面试、试讲的一种或多种考察方式简化程序引进。硕士招聘考核应采取笔试加专业测试(面试、试讲、技能操作等，可选择一种或多种)相结合的考察方式。</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专业笔试主要考察应聘人员专业知识和分析、解决问题等能力。面试主要考察应聘人员的专业基础知识、研究水平和潜能、处理与解决问题等能力。试讲主要考查应聘人员实现教学目的、掌握教学内容、运用教学方法的能力及教学效果等。</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考核顺序现场抽取。按照有关规定，在学校相关部门的监督下成立考官组，由5-7人组成。具体考核时间、地点、方式等见考核方案，考核方案另行公布。</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博士及高层次等人才招聘考核最终成绩设置最低分数线85分。硕士招聘考核笔试和专业能力测试成绩均以百分制计算，应聘人员最终考核成绩按照笔试50%和专业能力测试50%的规则，最后加权计算得出考核最终成绩。所有成绩计算时均保留到小数点后两位，小数点后第三位四舍五入。为保证招聘质量，硕士招聘笔试考核设置最低控制合格分数线60分，专业测试考核设置最低控制合格分数线85分。根据招聘计划数和应聘人员最终成绩，从高分到低分，按1:1比例等额确定进入体检、考察对象(如最终成绩相同，依次以复试成绩、初试成绩得分高者优先。若应聘者各科成绩均相同，则采取加试的方法，加试方案另行公布)。</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(五)体检。</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体检工作按《关于进一步规范全省事业单位公开招聘人员体检工作的通知》(皖人社秘〔2013〕208号)等有关规定执行。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(六)考察。</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考察工作根据拟聘用岗位的要求，采取多种形式，全面了解掌握考察对象在政治思想、道德品质、能力素质、遵纪守法、廉洁自律、岗位匹配等方面的情况以及学习工作和报考期间的表现，同时要核实考察对象是否符合规定的报考资格条件，提供的报考信息和相关材料是否真实、准确，是否具有报考回避的情形等方面的情况。</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根据《关于加快推进失信被执行人信用监督、警示和惩戒机制建设的实施意见》(皖办发〔2017〕24号)等文件精神，考察结束时考察对象仍属于失信被执行人的，考察不合格。</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(七)公示。</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体检、考察结束后，依据招聘公告规定和体检、考察结果，学校集体研究确定拟聘人员，并在安徽师范大学网站进行公示。公示期为7天。</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在体检、考察、公示等环节中，对体检不合格、考察不合格、个人放弃等出现缺额的，不再递补。</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(八)签约聘用。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经公示无异议或公示结果不影响聘用的，按规定将有关材料，报省人社厅核准办理有关手续。事业单位新进人员须与单位签订事业单位聘用合同，确立人事关系。对未在规定时间内报到上班的人员，取消其聘用资格。事业单位新进人员按规定实行试用期制度，试用期包括在聘用合同期限内。</w:t>
      </w:r>
    </w:p>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1B478E"/>
        <w:spacing w:before="240" w:beforeAutospacing="0" w:after="240" w:afterAutospacing="0" w:line="420" w:lineRule="atLeast"/>
        <w:ind w:left="0" w:right="0" w:firstLine="315"/>
        <w:rPr>
          <w:rFonts w:hint="eastAsia" w:ascii="微软雅黑" w:hAnsi="微软雅黑" w:eastAsia="微软雅黑" w:cs="微软雅黑"/>
          <w:i w:val="0"/>
          <w:iCs w:val="0"/>
          <w:caps w:val="0"/>
          <w:color w:val="FFFFFF"/>
          <w:spacing w:val="0"/>
          <w:sz w:val="24"/>
          <w:szCs w:val="24"/>
        </w:rPr>
      </w:pPr>
      <w:r>
        <w:rPr>
          <w:rFonts w:hint="eastAsia" w:ascii="微软雅黑" w:hAnsi="微软雅黑" w:eastAsia="微软雅黑" w:cs="微软雅黑"/>
          <w:i w:val="0"/>
          <w:iCs w:val="0"/>
          <w:caps w:val="0"/>
          <w:color w:val="FFFFFF"/>
          <w:spacing w:val="0"/>
          <w:sz w:val="24"/>
          <w:szCs w:val="24"/>
          <w:bdr w:val="none" w:color="auto" w:sz="0" w:space="0"/>
          <w:shd w:val="clear" w:fill="1B478E"/>
        </w:rPr>
        <w:t>六、其他</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(一)本次选聘工作在学校纪委的全程监督下进行，同时欢迎社会和学校广大教职工进行监督，如发现徇私舞弊、弄虚作假等行为，按规定严肃处理。监督电话：0553-5910017。</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二)2022年最终拟聘用人员必须在2022年12月31日前取得招聘岗位所要求的学历、学位证书和就业报到证等材料(1.留学归国人员须提供经教育部留学服务中心认证的《国外学历学位认证书》(如暂未取得可不提供，报到时需提供《国外学历学位认证书》原件);2.非应届毕业生若无报到证，如有聘用单位，入校报到时，须提供与原单位解除聘用关系的证明材料;若无聘用单位，须托管档案的人才交流服务中心提供无工作单位的证明材料),逾期学校将不予聘用。</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三)请应聘者严格对照招聘条件要求投递简历，以应聘者最终学历及所学专业作为认定标准，对不符合学校招聘条件要求的人员学校一律不予聘用。资格审查贯穿于招聘工作全过程，如在招聘过程中任何环节发现有违纪违规、材料不齐、提供虚假信息或应聘者条件不符合招聘岗位条件要求等情况的，随时取消应聘资格或解聘。由此造成的后果，由应聘者本人负责。</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(四)本公告为2022年度安徽师范大学人才招聘预公告，最终招聘计划以上级主管部门批准为准。本公告未规定的以上级主管部门政策为准。未尽事宜，由人事处负责解释。人事处杨老师联系电话：0553-5910066。</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特此公告。</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bdr w:val="none" w:color="auto" w:sz="0" w:space="0"/>
          <w:shd w:val="clear" w:fill="FFFFFF"/>
        </w:rPr>
        <w:t>附件：</w:t>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"http://www.gxszw.com/uploads/soft/220125/8-220125160142.xls" \t "http://www.gxszw.com/zhaopin/ahsfdx/_blank"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1.安徽师范大学2022年教学科研单位教学科研岗位进人计划汇总表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"http://www.gxszw.com/uploads/soft/220125/8-220125160203.xls" \t "http://www.gxszw.com/zhaopin/ahsfdx/_blank"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2.安徽师范大学2022年教学科研单位教学科研岗位引进高层次人才计划汇总表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"http://www.gxszw.com/uploads/soft/220125/8-220125160218.xlsx" \t "http://www.gxszw.com/zhaopin/ahsfdx/_blank"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3.安徽师范大学2022年教学单位专技岗位进人计划汇总表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p>
    <w:p>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84" w:lineRule="atLeast"/>
        <w:ind w:left="0" w:right="0" w:firstLine="336"/>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begin"/>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instrText xml:space="preserve"> HYPERLINK "http://www.gxszw.com/uploads/soft/220125/8-220125160234.xls" \t "http://www.gxszw.com/zhaopin/ahsfdx/_blank" </w:instrTex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separate"/>
      </w:r>
      <w:r>
        <w:rPr>
          <w:rStyle w:val="14"/>
          <w:rFonts w:hint="eastAsia" w:ascii="微软雅黑" w:hAnsi="微软雅黑" w:eastAsia="微软雅黑" w:cs="微软雅黑"/>
          <w:i w:val="0"/>
          <w:iCs w:val="0"/>
          <w:caps w:val="0"/>
          <w:color w:val="4B4B4B"/>
          <w:spacing w:val="0"/>
          <w:sz w:val="24"/>
          <w:szCs w:val="24"/>
          <w:u w:val="single"/>
          <w:bdr w:val="none" w:color="auto" w:sz="0" w:space="0"/>
          <w:shd w:val="clear" w:fill="FFFFFF"/>
        </w:rPr>
        <w:t>4.安徽师范大学2022年非教学单位行政管理、专技岗位进人计划汇总表</w:t>
      </w:r>
      <w:r>
        <w:rPr>
          <w:rFonts w:hint="eastAsia" w:ascii="微软雅黑" w:hAnsi="微软雅黑" w:eastAsia="微软雅黑" w:cs="微软雅黑"/>
          <w:i w:val="0"/>
          <w:iCs w:val="0"/>
          <w:caps w:val="0"/>
          <w:color w:val="4B4B4B"/>
          <w:spacing w:val="0"/>
          <w:sz w:val="24"/>
          <w:szCs w:val="24"/>
          <w:u w:val="none"/>
          <w:bdr w:val="none" w:color="auto" w:sz="0" w:space="0"/>
          <w:shd w:val="clear" w:fill="FFFFFF"/>
        </w:rPr>
        <w:fldChar w:fldCharType="end"/>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firstLine="420"/>
        <w:jc w:val="left"/>
        <w:rPr>
          <w:color w:val="000000"/>
          <w:sz w:val="16"/>
          <w:szCs w:val="16"/>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4B4B4B"/>
          <w:spacing w:val="0"/>
          <w:sz w:val="24"/>
          <w:szCs w:val="24"/>
          <w:u w:val="none"/>
          <w:shd w:val="clear" w:fill="FFFFFF"/>
        </w:rPr>
        <w:t>抄送</w:t>
      </w:r>
      <w:r>
        <w:rPr>
          <w:rFonts w:ascii="微软雅黑" w:hAnsi="微软雅黑" w:eastAsia="微软雅黑" w:cs="微软雅黑"/>
          <w:i w:val="0"/>
          <w:iCs w:val="0"/>
          <w:caps w:val="0"/>
          <w:color w:val="000000"/>
          <w:spacing w:val="0"/>
          <w:sz w:val="24"/>
          <w:szCs w:val="24"/>
          <w:shd w:val="clear" w:fill="FFFFFF"/>
        </w:rPr>
        <w:t>gxszwhr@163.com</w:t>
      </w:r>
      <w:r>
        <w:rPr>
          <w:rFonts w:hint="eastAsia" w:ascii="微软雅黑" w:hAnsi="微软雅黑" w:eastAsia="微软雅黑" w:cs="微软雅黑"/>
          <w:i w:val="0"/>
          <w:iCs w:val="0"/>
          <w:caps w:val="0"/>
          <w:color w:val="4B4B4B"/>
          <w:spacing w:val="0"/>
          <w:sz w:val="24"/>
          <w:szCs w:val="24"/>
          <w:u w:val="none"/>
          <w:shd w:val="clear" w:fill="FFFFFF"/>
        </w:rPr>
        <w:t xml:space="preserve"> 电子邮件命名格式：高校师资网+毕业学校+学历+应聘岗位+姓名）</w:t>
      </w:r>
      <w:r>
        <w:rPr>
          <w:rFonts w:hint="eastAsia" w:ascii="Verdana" w:hAnsi="Verdana" w:eastAsia="宋体" w:cs="Verdana"/>
          <w:i w:val="0"/>
          <w:iCs w:val="0"/>
          <w:caps w:val="0"/>
          <w:color w:val="333333"/>
          <w:spacing w:val="0"/>
          <w:sz w:val="24"/>
          <w:szCs w:val="24"/>
        </w:rPr>
        <w:t>QQ博士交流群2：</w:t>
      </w:r>
      <w:r>
        <w:rPr>
          <w:rStyle w:val="11"/>
          <w:rFonts w:hint="default" w:ascii="Verdana" w:hAnsi="Verdana" w:eastAsia="宋体" w:cs="Verdana"/>
          <w:i w:val="0"/>
          <w:iCs w:val="0"/>
          <w:caps w:val="0"/>
          <w:color w:val="FF0000"/>
          <w:spacing w:val="0"/>
          <w:sz w:val="24"/>
          <w:szCs w:val="24"/>
        </w:rPr>
        <w:t>474552006</w:t>
      </w:r>
      <w:r>
        <w:rPr>
          <w:rFonts w:hint="default" w:ascii="Verdana" w:hAnsi="Verdana" w:eastAsia="宋体" w:cs="Verdana"/>
          <w:i w:val="0"/>
          <w:iCs w:val="0"/>
          <w:caps w:val="0"/>
          <w:color w:val="333333"/>
          <w:spacing w:val="0"/>
          <w:sz w:val="24"/>
          <w:szCs w:val="24"/>
        </w:rPr>
        <w:t xml:space="preserve">， </w:t>
      </w:r>
      <w:r>
        <w:rPr>
          <w:rFonts w:hint="eastAsia" w:ascii="Verdana" w:hAnsi="Verdana" w:eastAsia="宋体" w:cs="Verdana"/>
          <w:i w:val="0"/>
          <w:iCs w:val="0"/>
          <w:caps w:val="0"/>
          <w:color w:val="333333"/>
          <w:spacing w:val="0"/>
          <w:sz w:val="24"/>
          <w:szCs w:val="24"/>
          <w:lang w:val="en-US" w:eastAsia="zh-CN"/>
        </w:rPr>
        <w:t>硕士</w:t>
      </w:r>
      <w:r>
        <w:rPr>
          <w:rFonts w:hint="default" w:ascii="Verdana" w:hAnsi="Verdana" w:eastAsia="宋体" w:cs="Verdana"/>
          <w:i w:val="0"/>
          <w:iCs w:val="0"/>
          <w:caps w:val="0"/>
          <w:color w:val="333333"/>
          <w:spacing w:val="0"/>
          <w:sz w:val="24"/>
          <w:szCs w:val="24"/>
        </w:rPr>
        <w:t>交流群：</w:t>
      </w:r>
      <w:r>
        <w:rPr>
          <w:rStyle w:val="11"/>
          <w:rFonts w:hint="default" w:ascii="Verdana" w:hAnsi="Verdana" w:eastAsia="宋体" w:cs="Verdana"/>
          <w:i w:val="0"/>
          <w:iCs w:val="0"/>
          <w:caps w:val="0"/>
          <w:color w:val="FF0000"/>
          <w:spacing w:val="0"/>
          <w:sz w:val="24"/>
          <w:szCs w:val="24"/>
        </w:rPr>
        <w:t>904560179</w:t>
      </w:r>
      <w:r>
        <w:rPr>
          <w:rFonts w:ascii="宋体" w:hAnsi="宋体" w:eastAsia="宋体" w:cs="宋体"/>
          <w:color w:val="FF0000"/>
          <w:sz w:val="24"/>
          <w:szCs w:val="24"/>
        </w:rPr>
        <w:t>更多校园招聘信息</w:t>
      </w:r>
      <w:r>
        <w:rPr>
          <w:rFonts w:hint="eastAsia" w:ascii="宋体" w:hAnsi="宋体" w:eastAsia="宋体" w:cs="宋体"/>
          <w:color w:val="FF0000"/>
          <w:sz w:val="24"/>
          <w:szCs w:val="24"/>
          <w:lang w:val="en-US" w:eastAsia="zh-CN"/>
        </w:rPr>
        <w:t>请同学添</w:t>
      </w:r>
      <w:r>
        <w:rPr>
          <w:rFonts w:ascii="宋体" w:hAnsi="宋体" w:eastAsia="宋体" w:cs="宋体"/>
          <w:color w:val="FF0000"/>
          <w:sz w:val="24"/>
          <w:szCs w:val="24"/>
        </w:rPr>
        <w:t>加</w:t>
      </w:r>
      <w:r>
        <w:rPr>
          <w:rFonts w:hint="eastAsia" w:ascii="宋体" w:hAnsi="宋体" w:eastAsia="宋体" w:cs="宋体"/>
          <w:color w:val="FF0000"/>
          <w:sz w:val="24"/>
          <w:szCs w:val="24"/>
        </w:rPr>
        <w:t>客服</w:t>
      </w:r>
      <w:r>
        <w:rPr>
          <w:rFonts w:hint="eastAsia" w:ascii="宋体" w:hAnsi="宋体" w:eastAsia="宋体" w:cs="宋体"/>
          <w:color w:val="auto"/>
          <w:sz w:val="24"/>
          <w:szCs w:val="24"/>
        </w:rPr>
        <w:t>惠惠儿老师</w:t>
      </w:r>
      <w:r>
        <w:rPr>
          <w:rFonts w:hint="eastAsia" w:ascii="宋体" w:hAnsi="宋体" w:eastAsia="宋体" w:cs="宋体"/>
          <w:color w:val="FF0000"/>
          <w:sz w:val="24"/>
          <w:szCs w:val="24"/>
        </w:rPr>
        <w:t>微信号码：15210763946</w:t>
      </w:r>
      <w:r>
        <w:rPr>
          <w:rFonts w:hint="eastAsia" w:ascii="宋体" w:hAnsi="宋体" w:eastAsia="宋体" w:cs="宋体"/>
          <w:color w:val="FF0000"/>
          <w:sz w:val="24"/>
          <w:szCs w:val="24"/>
          <w:lang w:val="en-US" w:eastAsia="zh-CN"/>
        </w:rPr>
        <w:t>咨询。</w:t>
      </w: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rPr>
          <w:sz w:val="24"/>
          <w:szCs w:val="24"/>
        </w:rPr>
      </w:pPr>
    </w:p>
    <w:p>
      <w:pPr>
        <w:pStyle w:val="8"/>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84" w:lineRule="atLeast"/>
        <w:ind w:left="0" w:right="0"/>
        <w:jc w:val="center"/>
        <w:rPr>
          <w:rFonts w:hint="eastAsia" w:ascii="宋体" w:hAnsi="宋体" w:eastAsia="宋体" w:cs="宋体"/>
          <w:color w:val="FF0000"/>
          <w:sz w:val="24"/>
          <w:szCs w:val="24"/>
          <w:lang w:val="en-US" w:eastAsia="zh-CN"/>
        </w:rPr>
      </w:pPr>
      <w:r>
        <w:rPr>
          <w:rFonts w:hint="eastAsia" w:ascii="微软雅黑" w:hAnsi="微软雅黑" w:eastAsia="微软雅黑" w:cs="微软雅黑"/>
          <w:i w:val="0"/>
          <w:iCs w:val="0"/>
          <w:caps w:val="0"/>
          <w:color w:val="000000"/>
          <w:spacing w:val="0"/>
          <w:sz w:val="16"/>
          <w:szCs w:val="16"/>
          <w:bdr w:val="single" w:color="808080" w:sz="4" w:space="0"/>
        </w:rPr>
        <w:drawing>
          <wp:inline distT="0" distB="0" distL="114300" distR="114300">
            <wp:extent cx="5425440" cy="2444750"/>
            <wp:effectExtent l="0" t="0" r="0" b="889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5"/>
                    <a:stretch>
                      <a:fillRect/>
                    </a:stretch>
                  </pic:blipFill>
                  <pic:spPr>
                    <a:xfrm>
                      <a:off x="0" y="0"/>
                      <a:ext cx="5425440" cy="2444750"/>
                    </a:xfrm>
                    <a:prstGeom prst="rect">
                      <a:avLst/>
                    </a:prstGeom>
                    <a:noFill/>
                    <a:ln w="9525">
                      <a:noFill/>
                    </a:ln>
                  </pic:spPr>
                </pic:pic>
              </a:graphicData>
            </a:graphic>
          </wp:inline>
        </w:drawing>
      </w:r>
    </w:p>
    <w:sectPr>
      <w:headerReference r:id="rId3" w:type="default"/>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auto"/>
    <w:pitch w:val="default"/>
    <w:sig w:usb0="A00006FF" w:usb1="4000205B" w:usb2="00000010" w:usb3="00000000" w:csb0="2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drawing>
        <wp:inline distT="0" distB="0" distL="114300" distR="114300">
          <wp:extent cx="1332230" cy="385445"/>
          <wp:effectExtent l="0" t="0" r="1270" b="1460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
                  <a:stretch>
                    <a:fillRect/>
                  </a:stretch>
                </pic:blipFill>
                <pic:spPr>
                  <a:xfrm>
                    <a:off x="0" y="0"/>
                    <a:ext cx="1332230" cy="38544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F016BB"/>
    <w:rsid w:val="019D4334"/>
    <w:rsid w:val="02B64EE0"/>
    <w:rsid w:val="068A44F0"/>
    <w:rsid w:val="06C070EB"/>
    <w:rsid w:val="09872C57"/>
    <w:rsid w:val="0CC06E77"/>
    <w:rsid w:val="0D193F09"/>
    <w:rsid w:val="0FAA4354"/>
    <w:rsid w:val="0FB874A4"/>
    <w:rsid w:val="14674D1C"/>
    <w:rsid w:val="147F4C92"/>
    <w:rsid w:val="14B4453A"/>
    <w:rsid w:val="165252AD"/>
    <w:rsid w:val="17E102E4"/>
    <w:rsid w:val="197310E2"/>
    <w:rsid w:val="197856F4"/>
    <w:rsid w:val="19F61AB2"/>
    <w:rsid w:val="1A0469F7"/>
    <w:rsid w:val="1A373139"/>
    <w:rsid w:val="1C9422C3"/>
    <w:rsid w:val="1D7A0CFC"/>
    <w:rsid w:val="21134AD8"/>
    <w:rsid w:val="22A874D9"/>
    <w:rsid w:val="24580E6E"/>
    <w:rsid w:val="247479B7"/>
    <w:rsid w:val="28A3523A"/>
    <w:rsid w:val="28B450FC"/>
    <w:rsid w:val="28F940AD"/>
    <w:rsid w:val="2A027745"/>
    <w:rsid w:val="2B120F8C"/>
    <w:rsid w:val="2D991193"/>
    <w:rsid w:val="2E531BE2"/>
    <w:rsid w:val="314D4C40"/>
    <w:rsid w:val="32A77C15"/>
    <w:rsid w:val="38F03729"/>
    <w:rsid w:val="39371855"/>
    <w:rsid w:val="3A427D7E"/>
    <w:rsid w:val="3AB918A1"/>
    <w:rsid w:val="3B913AA4"/>
    <w:rsid w:val="3BB37D4C"/>
    <w:rsid w:val="3CEA7B05"/>
    <w:rsid w:val="3DF56999"/>
    <w:rsid w:val="3E92015B"/>
    <w:rsid w:val="3F7C6224"/>
    <w:rsid w:val="41717E98"/>
    <w:rsid w:val="41722A03"/>
    <w:rsid w:val="429C1375"/>
    <w:rsid w:val="4653603B"/>
    <w:rsid w:val="49A21BA8"/>
    <w:rsid w:val="4C0731ED"/>
    <w:rsid w:val="512B75BB"/>
    <w:rsid w:val="52C1090F"/>
    <w:rsid w:val="55CC7BA3"/>
    <w:rsid w:val="56061EFD"/>
    <w:rsid w:val="586F1923"/>
    <w:rsid w:val="58762146"/>
    <w:rsid w:val="5A900BEA"/>
    <w:rsid w:val="5BCF6CF7"/>
    <w:rsid w:val="5CA12FA0"/>
    <w:rsid w:val="5EA31278"/>
    <w:rsid w:val="61A82188"/>
    <w:rsid w:val="659F265C"/>
    <w:rsid w:val="6628055F"/>
    <w:rsid w:val="67C74427"/>
    <w:rsid w:val="690B5883"/>
    <w:rsid w:val="692B436B"/>
    <w:rsid w:val="6DCF29D3"/>
    <w:rsid w:val="6E796040"/>
    <w:rsid w:val="70E65CA3"/>
    <w:rsid w:val="720F4553"/>
    <w:rsid w:val="72A82C37"/>
    <w:rsid w:val="72FF353B"/>
    <w:rsid w:val="736677C4"/>
    <w:rsid w:val="73AF2CDC"/>
    <w:rsid w:val="7532297B"/>
    <w:rsid w:val="75A67861"/>
    <w:rsid w:val="75C24340"/>
    <w:rsid w:val="7A772BA1"/>
    <w:rsid w:val="7B2D6662"/>
    <w:rsid w:val="7DEA6DD7"/>
    <w:rsid w:val="7E012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5">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1">
    <w:name w:val="Strong"/>
    <w:basedOn w:val="10"/>
    <w:qFormat/>
    <w:uiPriority w:val="0"/>
    <w:rPr>
      <w:b/>
    </w:rPr>
  </w:style>
  <w:style w:type="character" w:styleId="12">
    <w:name w:val="FollowedHyperlink"/>
    <w:basedOn w:val="10"/>
    <w:qFormat/>
    <w:uiPriority w:val="0"/>
    <w:rPr>
      <w:color w:val="4B4B4B"/>
      <w:u w:val="none"/>
    </w:rPr>
  </w:style>
  <w:style w:type="character" w:styleId="13">
    <w:name w:val="Emphasis"/>
    <w:basedOn w:val="10"/>
    <w:qFormat/>
    <w:uiPriority w:val="0"/>
    <w:rPr>
      <w:i/>
    </w:rPr>
  </w:style>
  <w:style w:type="character" w:styleId="14">
    <w:name w:val="Hyperlink"/>
    <w:basedOn w:val="10"/>
    <w:qFormat/>
    <w:uiPriority w:val="0"/>
    <w:rPr>
      <w:color w:val="0000FF"/>
      <w:u w:val="single"/>
    </w:rPr>
  </w:style>
  <w:style w:type="character" w:customStyle="1" w:styleId="15">
    <w:name w:val="bsharetext"/>
    <w:basedOn w:val="10"/>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52</TotalTime>
  <ScaleCrop>false</ScaleCrop>
  <LinksUpToDate>false</LinksUpToDate>
  <CharactersWithSpaces>0</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office2</cp:lastModifiedBy>
  <dcterms:modified xsi:type="dcterms:W3CDTF">2022-01-27T06:50:49Z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468A9DA0C1994F43A76EB771EE12B21B</vt:lpwstr>
  </property>
</Properties>
</file>