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0"/>
        <w:jc w:val="center"/>
        <w:rPr>
          <w:rFonts w:hint="default" w:ascii="微软雅黑" w:hAnsi="微软雅黑" w:eastAsia="微软雅黑" w:cs="微软雅黑"/>
          <w:i w:val="0"/>
          <w:iCs w:val="0"/>
          <w:caps w:val="0"/>
          <w:color w:val="000000"/>
          <w:spacing w:val="0"/>
          <w:sz w:val="38"/>
          <w:szCs w:val="38"/>
          <w:lang w:val="en-US" w:eastAsia="zh-CN"/>
        </w:rPr>
      </w:pPr>
      <w:r>
        <w:rPr>
          <w:rFonts w:hint="eastAsia" w:ascii="微软雅黑" w:hAnsi="微软雅黑" w:eastAsia="微软雅黑" w:cs="微软雅黑"/>
          <w:i w:val="0"/>
          <w:iCs w:val="0"/>
          <w:caps w:val="0"/>
          <w:color w:val="000000"/>
          <w:spacing w:val="0"/>
          <w:sz w:val="38"/>
          <w:szCs w:val="38"/>
          <w:bdr w:val="none" w:color="auto" w:sz="0" w:space="0"/>
        </w:rPr>
        <w:t>安徽科技学院2022年</w:t>
      </w:r>
      <w:r>
        <w:rPr>
          <w:rFonts w:hint="eastAsia" w:ascii="微软雅黑" w:hAnsi="微软雅黑" w:eastAsia="微软雅黑" w:cs="微软雅黑"/>
          <w:i w:val="0"/>
          <w:iCs w:val="0"/>
          <w:caps w:val="0"/>
          <w:color w:val="000000"/>
          <w:spacing w:val="0"/>
          <w:sz w:val="38"/>
          <w:szCs w:val="38"/>
          <w:bdr w:val="none" w:color="auto" w:sz="0" w:space="0"/>
          <w:lang w:val="en-US" w:eastAsia="zh-CN"/>
        </w:rPr>
        <w:t>最新招聘公告</w:t>
      </w:r>
      <w:bookmarkStart w:id="0" w:name="_GoBack"/>
      <w:bookmarkEnd w:id="0"/>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安徽科技学院创办于1950年，1965年开始举办本科教育，2012年开始独立培养研究生，2021年成为硕士学位授予单位，现为国家“卓越工程师教育培养计划”项目建设高校、全国重点建设职教师资培养培训基地和“地方应用型高水平大学”项目建设高校。学校现有凤阳校区和蚌埠龙湖校区，拥有14个二级学院，50个本科招生专业，涵盖农、工、理、管、经、文、法、医等学科门类，形成了以优势农科和新兴工科为重点，多学科相互支撑、协调发展的应用型学科专业体系。现有国家级一流本科专业建设点1个、综合改革试点专业1个、特色专业2个、卓越工程师教育培养计划专业4个、复合应用型卓越农林人才教育培养计划改革试点专业3个，承担国家新工科、新农科研究与实践项目4项。拥有省级重点学科6个、一流本科专业建设点14个、一流(品牌)专业3个、综合改革试点专业16个、特色专业11个，2021年，财务管理专业纳入本科一批次招生，种子科学与工程专业作为国家紧缺专业纳入提前批次招生。建校70年来，学校已累计为国家和地方经济社会发展输送了10万余名优秀毕业生。根据学科专业建设需要，现诚聘天下英才。</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rPr>
          <w:sz w:val="24"/>
          <w:szCs w:val="24"/>
        </w:rPr>
      </w:pPr>
      <w:r>
        <w:rPr>
          <w:i w:val="0"/>
          <w:iCs w:val="0"/>
          <w:caps w:val="0"/>
          <w:color w:val="000000"/>
          <w:spacing w:val="0"/>
          <w:sz w:val="24"/>
          <w:szCs w:val="24"/>
          <w:bdr w:val="single" w:color="005CF9" w:sz="36" w:space="0"/>
          <w:shd w:val="clear" w:fill="EEEEEE"/>
        </w:rPr>
        <w:t>一、人才引进类型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学科带头人、中都学者、具有博士学位正高级职称人员、具有博士学位副高级职称人员、博士研究生。</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rPr>
          <w:sz w:val="24"/>
          <w:szCs w:val="24"/>
        </w:rPr>
      </w:pPr>
      <w:r>
        <w:rPr>
          <w:i w:val="0"/>
          <w:iCs w:val="0"/>
          <w:caps w:val="0"/>
          <w:color w:val="000000"/>
          <w:spacing w:val="0"/>
          <w:sz w:val="24"/>
          <w:szCs w:val="24"/>
          <w:bdr w:val="single" w:color="005CF9" w:sz="36" w:space="0"/>
          <w:shd w:val="clear" w:fill="EEEEEE"/>
        </w:rPr>
        <w:t>二、人才引进条件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(一)基本条件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引进对象除符合招聘岗位条件外，还必须符合以下基本条件：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1、遵守宪法和法律，热爱祖国，热爱教育事业。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2、遵守职业道德和学术规范，作风正派，品行端正。</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3、善于团结协作，责任心强，深受同行专家认可和赞誉。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4、适应岗位要求的身体条件。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5、无违法违纪及不良记录。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(二)年龄要求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学科带头人、中都学者特聘教授50周岁以下，青年中都学者40周岁以下;具有博士学位正高级职称人员50周岁以下;具有博士学位副高级职称人员45周岁以下;博士研究生40周岁以下。特殊需求人才年龄可适当放宽。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(三)学历要求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引进的各类人才原则上均应具有博士研究生学历学位。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(四)科研要求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1、学科带头人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近5年科研业绩达到安徽省规定的三类以上人才标准。对我校急需引进的紧缺人才，科研业绩可适当放宽。对于不能全职来校工作的，可采用柔性方式引进。</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2、中都学者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按《安徽科技学院中都学者选聘管理暂行办法》第八条执行。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3、具有博士学位正高级职称人员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近5年取得显著的研究成果，主持国家级科研课题1项以上或省部级科研课题2项以上，且作为第一作者或通讯作者在自然科学学科SCI收录刊物上发表论文累计影响因子达到15.0以上(其中机械、电气、计算机等学科可以根据具体情况，以EI收录期刊论文、本学科国内顶级期刊、一流学报或其他相当业绩等代替部分SCI论文);人文社会学科在CSSCI来源刊物上发表论文5篇以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4、具有博士学位副高级职称人员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近5年取得显著的研究成果，主持省部级科研课题1项以上，且作为第一作者或通讯作者在自然科学学科SCI收录刊物上发表论文累计影响因子达到12.0以上(其中机械、电气、计算机等学科可以根据具体情况，以EI收录期刊论文、本学科国内顶级期刊、一流学报或其他相当业绩等代替部分SCI论文);人文社会学科在CSSCI来源刊物上发表论文4篇以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Style w:val="11"/>
          <w:rFonts w:hint="eastAsia" w:ascii="微软雅黑" w:hAnsi="微软雅黑" w:eastAsia="微软雅黑" w:cs="微软雅黑"/>
          <w:i w:val="0"/>
          <w:iCs w:val="0"/>
          <w:caps w:val="0"/>
          <w:color w:val="000000"/>
          <w:spacing w:val="0"/>
          <w:sz w:val="24"/>
          <w:szCs w:val="24"/>
          <w:bdr w:val="none" w:color="auto" w:sz="0" w:space="0"/>
        </w:rPr>
        <w:t>5、博士研究生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博士研究生根据业绩分成A类和B类。</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A类业绩：具有突出的科研能力，并取得显著的研究成果。作为第一作者，自然科学学科在SCI收录刊物上发表论文3篇以上或单篇影响因子6.0以上;人文社会学科在CSSCI来源刊物上发表论文3篇以上。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B类业绩：具有较高的科研能力，并取得较显著的研究成果。作为第一作者，自然科学学科在SCI收录刊物上发表论文2篇以上或单篇影响因子4.0以上或在EI(JA)收录刊物上发表论文3篇以上;人文社会学科在CSSCI来源刊物上发表论文2篇以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特殊需求人才业绩可适当放宽。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(五)教学要求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具备高校教师应有的基本素质和教育教学能力，经学校考核达到良好以上等次。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i w:val="0"/>
          <w:iCs w:val="0"/>
          <w:caps w:val="0"/>
          <w:color w:val="000000"/>
          <w:spacing w:val="0"/>
          <w:sz w:val="24"/>
          <w:szCs w:val="24"/>
          <w:bdr w:val="none" w:color="auto" w:sz="0" w:space="0"/>
        </w:rPr>
        <w:t>(六)紧缺专业界定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1、紧缺专业：马克思主义理论、应用经济学、外国语言文学、法学、数学、机械工程、光学工程、电气工程、电子科学与技术、信息与通信工程、控制科学与工程、计算机科学与技术、建筑学类、食品科学与工程、药学、中药学、管理科学与工程、工商管理、地理信息科学等一级学科范围内的专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2、一般专业：除上述紧缺专业以外的其他专业。</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rPr>
          <w:sz w:val="24"/>
          <w:szCs w:val="24"/>
        </w:rPr>
      </w:pPr>
      <w:r>
        <w:rPr>
          <w:i w:val="0"/>
          <w:iCs w:val="0"/>
          <w:caps w:val="0"/>
          <w:color w:val="000000"/>
          <w:spacing w:val="0"/>
          <w:sz w:val="24"/>
          <w:szCs w:val="24"/>
          <w:bdr w:val="single" w:color="005CF9" w:sz="36" w:space="0"/>
          <w:shd w:val="clear" w:fill="EEEEEE"/>
        </w:rPr>
        <w:t>三、人才引进待遇</w:t>
      </w:r>
    </w:p>
    <w:tbl>
      <w:tblPr>
        <w:tblW w:w="14150" w:type="dxa"/>
        <w:tblInd w:w="0" w:type="dxa"/>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1967"/>
        <w:gridCol w:w="1966"/>
        <w:gridCol w:w="727"/>
        <w:gridCol w:w="1761"/>
        <w:gridCol w:w="1992"/>
        <w:gridCol w:w="4935"/>
        <w:gridCol w:w="802"/>
      </w:tblGrid>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c>
          <w:tcPr>
            <w:tcW w:w="240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人才类别</w:t>
            </w:r>
          </w:p>
        </w:tc>
        <w:tc>
          <w:tcPr>
            <w:tcW w:w="0" w:type="auto"/>
            <w:gridSpan w:val="2"/>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住房补贴</w:t>
            </w:r>
          </w:p>
        </w:tc>
        <w:tc>
          <w:tcPr>
            <w:tcW w:w="0" w:type="auto"/>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安家费</w:t>
            </w:r>
          </w:p>
        </w:tc>
        <w:tc>
          <w:tcPr>
            <w:tcW w:w="204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科研启动费</w:t>
            </w:r>
          </w:p>
        </w:tc>
        <w:tc>
          <w:tcPr>
            <w:tcW w:w="228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特殊津贴</w:t>
            </w:r>
          </w:p>
        </w:tc>
        <w:tc>
          <w:tcPr>
            <w:tcW w:w="0" w:type="auto"/>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备注</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15" w:type="dxa"/>
            <w:left w:w="15" w:type="dxa"/>
            <w:bottom w:w="15" w:type="dxa"/>
            <w:right w:w="15" w:type="dxa"/>
          </w:tblCellMar>
        </w:tblPrEx>
        <w:tc>
          <w:tcPr>
            <w:tcW w:w="240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学科带头人</w:t>
            </w:r>
          </w:p>
        </w:tc>
        <w:tc>
          <w:tcPr>
            <w:tcW w:w="0" w:type="auto"/>
            <w:gridSpan w:val="2"/>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80~100万元</w:t>
            </w:r>
          </w:p>
        </w:tc>
        <w:tc>
          <w:tcPr>
            <w:tcW w:w="0" w:type="auto"/>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70-80万元</w:t>
            </w:r>
          </w:p>
        </w:tc>
        <w:tc>
          <w:tcPr>
            <w:tcW w:w="204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自然学科：100-150万元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人文学科：50-80万元</w:t>
            </w:r>
          </w:p>
        </w:tc>
        <w:tc>
          <w:tcPr>
            <w:tcW w:w="228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2000元/月</w:t>
            </w:r>
          </w:p>
        </w:tc>
        <w:tc>
          <w:tcPr>
            <w:tcW w:w="0" w:type="auto"/>
            <w:vMerge w:val="restart"/>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1.引进的人才须与学校签订服务期合同，实行合同管理，服务期限为8年。</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2.人才进校时发放住房补贴和安家费总额的80%，聘期期满考核合格后发放余下的20%。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3.科研奖励：国家基金面上项目奖励16万，国家级成果奖奖励50-100万，省部级成果奖奖励4-20万,论文根据相关管理办法评奖后最高奖励30万。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4.新进博士配偶视其学历情况，由学校采取人事代理或校内聘用等方式安排工作。</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15" w:type="dxa"/>
            <w:left w:w="15" w:type="dxa"/>
            <w:bottom w:w="15" w:type="dxa"/>
            <w:right w:w="15" w:type="dxa"/>
          </w:tblCellMar>
        </w:tblPrEx>
        <w:tc>
          <w:tcPr>
            <w:tcW w:w="240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中都学者</w:t>
            </w:r>
          </w:p>
        </w:tc>
        <w:tc>
          <w:tcPr>
            <w:tcW w:w="0" w:type="auto"/>
            <w:gridSpan w:val="5"/>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按《安徽科技学院中都学者选聘管理暂行办法》中第十一条执行。</w:t>
            </w:r>
          </w:p>
        </w:tc>
        <w:tc>
          <w:tcPr>
            <w:tcW w:w="0" w:type="auto"/>
            <w:vMerge w:val="continue"/>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15" w:type="dxa"/>
            <w:left w:w="15" w:type="dxa"/>
            <w:bottom w:w="15" w:type="dxa"/>
            <w:right w:w="15" w:type="dxa"/>
          </w:tblCellMar>
        </w:tblPrEx>
        <w:tc>
          <w:tcPr>
            <w:tcW w:w="240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具有博士学位正高级职称人员</w:t>
            </w:r>
          </w:p>
        </w:tc>
        <w:tc>
          <w:tcPr>
            <w:tcW w:w="0" w:type="auto"/>
            <w:gridSpan w:val="2"/>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60~70万元</w:t>
            </w:r>
          </w:p>
        </w:tc>
        <w:tc>
          <w:tcPr>
            <w:tcW w:w="0" w:type="auto"/>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50~60万元</w:t>
            </w:r>
          </w:p>
        </w:tc>
        <w:tc>
          <w:tcPr>
            <w:tcW w:w="204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自然学科：50~70万元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人文学科：30~40万元</w:t>
            </w:r>
          </w:p>
        </w:tc>
        <w:tc>
          <w:tcPr>
            <w:tcW w:w="228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2000元/月</w:t>
            </w:r>
          </w:p>
        </w:tc>
        <w:tc>
          <w:tcPr>
            <w:tcW w:w="0" w:type="auto"/>
            <w:vMerge w:val="continue"/>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15" w:type="dxa"/>
            <w:left w:w="15" w:type="dxa"/>
            <w:bottom w:w="15" w:type="dxa"/>
            <w:right w:w="15" w:type="dxa"/>
          </w:tblCellMar>
        </w:tblPrEx>
        <w:tc>
          <w:tcPr>
            <w:tcW w:w="240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具有博士学位副高级职称人员</w:t>
            </w:r>
          </w:p>
        </w:tc>
        <w:tc>
          <w:tcPr>
            <w:tcW w:w="0" w:type="auto"/>
            <w:gridSpan w:val="2"/>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50~60万元</w:t>
            </w:r>
          </w:p>
        </w:tc>
        <w:tc>
          <w:tcPr>
            <w:tcW w:w="0" w:type="auto"/>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40~50万元</w:t>
            </w:r>
          </w:p>
        </w:tc>
        <w:tc>
          <w:tcPr>
            <w:tcW w:w="204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自然学科：30~50万元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人文学科：20~30万元</w:t>
            </w:r>
          </w:p>
        </w:tc>
        <w:tc>
          <w:tcPr>
            <w:tcW w:w="228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1500元/月</w:t>
            </w:r>
          </w:p>
        </w:tc>
        <w:tc>
          <w:tcPr>
            <w:tcW w:w="0" w:type="auto"/>
            <w:vMerge w:val="continue"/>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15" w:type="dxa"/>
            <w:left w:w="15" w:type="dxa"/>
            <w:bottom w:w="15" w:type="dxa"/>
            <w:right w:w="15" w:type="dxa"/>
          </w:tblCellMar>
        </w:tblPrEx>
        <w:tc>
          <w:tcPr>
            <w:tcW w:w="2400" w:type="dxa"/>
            <w:vMerge w:val="restart"/>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博士研究生</w:t>
            </w:r>
          </w:p>
        </w:tc>
        <w:tc>
          <w:tcPr>
            <w:tcW w:w="0" w:type="auto"/>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A类待遇</w:t>
            </w:r>
          </w:p>
        </w:tc>
        <w:tc>
          <w:tcPr>
            <w:tcW w:w="0" w:type="auto"/>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40~60万元</w:t>
            </w:r>
          </w:p>
        </w:tc>
        <w:tc>
          <w:tcPr>
            <w:tcW w:w="204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30~40万元</w:t>
            </w:r>
          </w:p>
        </w:tc>
        <w:tc>
          <w:tcPr>
            <w:tcW w:w="228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自然学科：30~40万元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人文学科：15~25万元</w:t>
            </w:r>
          </w:p>
        </w:tc>
        <w:tc>
          <w:tcPr>
            <w:tcW w:w="0" w:type="auto"/>
            <w:vMerge w:val="restart"/>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1000元/月；享受校内副教授经济待遇（享受期三年）。</w:t>
            </w:r>
          </w:p>
        </w:tc>
        <w:tc>
          <w:tcPr>
            <w:tcW w:w="0" w:type="auto"/>
            <w:vMerge w:val="continue"/>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15" w:type="dxa"/>
            <w:left w:w="15" w:type="dxa"/>
            <w:bottom w:w="15" w:type="dxa"/>
            <w:right w:w="15" w:type="dxa"/>
          </w:tblCellMar>
        </w:tblPrEx>
        <w:tc>
          <w:tcPr>
            <w:tcW w:w="2400" w:type="dxa"/>
            <w:vMerge w:val="continue"/>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rPr>
                <w:rFonts w:hint="eastAsia" w:ascii="宋体"/>
                <w:sz w:val="24"/>
                <w:szCs w:val="24"/>
              </w:rPr>
            </w:pPr>
          </w:p>
        </w:tc>
        <w:tc>
          <w:tcPr>
            <w:tcW w:w="240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B类待遇</w:t>
            </w:r>
          </w:p>
        </w:tc>
        <w:tc>
          <w:tcPr>
            <w:tcW w:w="0" w:type="auto"/>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20~40万元</w:t>
            </w:r>
          </w:p>
        </w:tc>
        <w:tc>
          <w:tcPr>
            <w:tcW w:w="0" w:type="auto"/>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20~30万元</w:t>
            </w:r>
          </w:p>
        </w:tc>
        <w:tc>
          <w:tcPr>
            <w:tcW w:w="2040" w:type="dxa"/>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自然学科：20~30万元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人文学科：10~20万元</w:t>
            </w:r>
          </w:p>
        </w:tc>
        <w:tc>
          <w:tcPr>
            <w:tcW w:w="0" w:type="auto"/>
            <w:vMerge w:val="continue"/>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15" w:type="dxa"/>
            <w:left w:w="15" w:type="dxa"/>
            <w:bottom w:w="15" w:type="dxa"/>
            <w:right w:w="15" w:type="dxa"/>
          </w:tblCellMar>
        </w:tblPrEx>
        <w:tc>
          <w:tcPr>
            <w:tcW w:w="2400" w:type="dxa"/>
            <w:gridSpan w:val="7"/>
            <w:tcBorders>
              <w:top w:val="outset" w:color="auto" w:sz="6" w:space="0"/>
              <w:left w:val="outset" w:color="auto" w:sz="6" w:space="0"/>
              <w:bottom w:val="single" w:color="CCCCCC" w:sz="4" w:space="0"/>
              <w:right w:val="single" w:color="CCCCCC" w:sz="4" w:space="0"/>
            </w:tcBorders>
            <w:shd w:val="clear"/>
            <w:tcMar>
              <w:top w:w="0" w:type="dxa"/>
              <w:left w:w="60" w:type="dxa"/>
              <w:bottom w:w="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学校根据实际需求，以团队形式来校工作的博士（3人以上且均为博士），可增加50%的安家费，科研启动费可根据需要另行商谈。紧缺专业安家费可在相应区间值上适当增加，最高增加20万元。在海外留学且取得博士学位人员，根据实际需求和专业紧缺程度以及海外背景，在享受原有待遇基础上，最高可增加50%的安家费和科研启动费。国家级高端人才、柔性引进高层次人才及学校事业发展特需人才可结合工作时间和任务，实行“一人一策”，待遇面议。</w:t>
            </w:r>
          </w:p>
        </w:tc>
      </w:tr>
    </w:tbl>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rPr>
          <w:sz w:val="24"/>
          <w:szCs w:val="24"/>
        </w:rPr>
      </w:pPr>
      <w:r>
        <w:rPr>
          <w:i w:val="0"/>
          <w:iCs w:val="0"/>
          <w:caps w:val="0"/>
          <w:color w:val="000000"/>
          <w:spacing w:val="0"/>
          <w:sz w:val="24"/>
          <w:szCs w:val="24"/>
          <w:bdr w:val="single" w:color="005CF9" w:sz="36" w:space="0"/>
          <w:shd w:val="clear" w:fill="EEEEEE"/>
        </w:rPr>
        <w:t>四、其他事项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(一)请对照我校2022年人才进人计划，向所在用人单位(简历投递邮箱见2022年人才引进计划)以附件形式投递应聘简历。</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(二)凡测试考察合格的拟录用人员，来校报到后，均须与学校签订服务期合同。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(三)各类人员具体引进条件、待遇、政策及引进办法等详见安徽科技学院2022年人才引进办法。</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rPr>
          <w:sz w:val="24"/>
          <w:szCs w:val="24"/>
        </w:rPr>
      </w:pPr>
      <w:r>
        <w:rPr>
          <w:i w:val="0"/>
          <w:iCs w:val="0"/>
          <w:caps w:val="0"/>
          <w:color w:val="000000"/>
          <w:spacing w:val="0"/>
          <w:sz w:val="24"/>
          <w:szCs w:val="24"/>
          <w:bdr w:val="single" w:color="005CF9" w:sz="36" w:space="0"/>
          <w:shd w:val="clear" w:fill="EEEEEE"/>
        </w:rPr>
        <w:t>五、联系方式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电话：0550-6732257/6732728</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联系人：才老师 谢老师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E-mail：</w:t>
      </w:r>
      <w:r>
        <w:rPr>
          <w:rStyle w:val="11"/>
          <w:rFonts w:hint="eastAsia" w:ascii="微软雅黑" w:hAnsi="微软雅黑" w:eastAsia="微软雅黑" w:cs="微软雅黑"/>
          <w:i w:val="0"/>
          <w:iCs w:val="0"/>
          <w:caps w:val="0"/>
          <w:color w:val="FF0000"/>
          <w:spacing w:val="0"/>
          <w:sz w:val="24"/>
          <w:szCs w:val="24"/>
          <w:bdr w:val="none" w:color="auto" w:sz="0" w:space="0"/>
        </w:rPr>
        <w:t>rsc@ahstu.edu.cn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学校网址：</w:t>
      </w:r>
      <w:r>
        <w:rPr>
          <w:rFonts w:hint="eastAsia" w:ascii="微软雅黑" w:hAnsi="微软雅黑" w:eastAsia="微软雅黑" w:cs="微软雅黑"/>
          <w:i w:val="0"/>
          <w:iCs w:val="0"/>
          <w:caps w:val="0"/>
          <w:color w:val="4B4B4B"/>
          <w:spacing w:val="0"/>
          <w:sz w:val="24"/>
          <w:szCs w:val="24"/>
          <w:u w:val="none"/>
          <w:bdr w:val="none" w:color="auto" w:sz="0" w:space="0"/>
        </w:rPr>
        <w:fldChar w:fldCharType="begin"/>
      </w:r>
      <w:r>
        <w:rPr>
          <w:rFonts w:hint="eastAsia" w:ascii="微软雅黑" w:hAnsi="微软雅黑" w:eastAsia="微软雅黑" w:cs="微软雅黑"/>
          <w:i w:val="0"/>
          <w:iCs w:val="0"/>
          <w:caps w:val="0"/>
          <w:color w:val="4B4B4B"/>
          <w:spacing w:val="0"/>
          <w:sz w:val="24"/>
          <w:szCs w:val="24"/>
          <w:u w:val="none"/>
          <w:bdr w:val="none" w:color="auto" w:sz="0" w:space="0"/>
        </w:rPr>
        <w:instrText xml:space="preserve"> HYPERLINK "http://www.ahstu.edu.cn/" </w:instrText>
      </w:r>
      <w:r>
        <w:rPr>
          <w:rFonts w:hint="eastAsia" w:ascii="微软雅黑" w:hAnsi="微软雅黑" w:eastAsia="微软雅黑" w:cs="微软雅黑"/>
          <w:i w:val="0"/>
          <w:iCs w:val="0"/>
          <w:caps w:val="0"/>
          <w:color w:val="4B4B4B"/>
          <w:spacing w:val="0"/>
          <w:sz w:val="24"/>
          <w:szCs w:val="24"/>
          <w:u w:val="none"/>
          <w:bdr w:val="none" w:color="auto" w:sz="0" w:space="0"/>
        </w:rPr>
        <w:fldChar w:fldCharType="separate"/>
      </w:r>
      <w:r>
        <w:rPr>
          <w:rStyle w:val="14"/>
          <w:rFonts w:hint="eastAsia" w:ascii="微软雅黑" w:hAnsi="微软雅黑" w:eastAsia="微软雅黑" w:cs="微软雅黑"/>
          <w:i w:val="0"/>
          <w:iCs w:val="0"/>
          <w:caps w:val="0"/>
          <w:color w:val="FF0000"/>
          <w:spacing w:val="0"/>
          <w:sz w:val="24"/>
          <w:szCs w:val="24"/>
          <w:u w:val="none"/>
          <w:bdr w:val="none" w:color="auto" w:sz="0" w:space="0"/>
        </w:rPr>
        <w:t>http://www.ahstu.edu.cn</w:t>
      </w:r>
      <w:r>
        <w:rPr>
          <w:rFonts w:hint="eastAsia" w:ascii="微软雅黑" w:hAnsi="微软雅黑" w:eastAsia="微软雅黑" w:cs="微软雅黑"/>
          <w:i w:val="0"/>
          <w:iCs w:val="0"/>
          <w:caps w:val="0"/>
          <w:color w:val="4B4B4B"/>
          <w:spacing w:val="0"/>
          <w:sz w:val="24"/>
          <w:szCs w:val="24"/>
          <w:u w:val="none"/>
          <w:bdr w:val="none" w:color="auto" w:sz="0" w:space="0"/>
        </w:rPr>
        <w:fldChar w:fldCharType="end"/>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line="384" w:lineRule="atLeast"/>
        <w:ind w:left="0" w:right="0"/>
        <w:jc w:val="center"/>
        <w:rPr>
          <w:sz w:val="24"/>
          <w:szCs w:val="24"/>
        </w:rPr>
      </w:pPr>
      <w:r>
        <w:rPr>
          <w:i w:val="0"/>
          <w:iCs w:val="0"/>
          <w:caps w:val="0"/>
          <w:color w:val="000000"/>
          <w:spacing w:val="0"/>
          <w:sz w:val="24"/>
          <w:szCs w:val="24"/>
          <w:bdr w:val="single" w:color="005CF9" w:sz="36" w:space="0"/>
          <w:shd w:val="clear" w:fill="EEEEEE"/>
        </w:rPr>
        <w:t>安徽科技学院2022年人才引进计划</w:t>
      </w:r>
    </w:p>
    <w:tbl>
      <w:tblPr>
        <w:tblW w:w="14150" w:type="dxa"/>
        <w:tblInd w:w="0" w:type="dxa"/>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361"/>
        <w:gridCol w:w="5725"/>
        <w:gridCol w:w="2422"/>
        <w:gridCol w:w="895"/>
        <w:gridCol w:w="895"/>
        <w:gridCol w:w="1532"/>
        <w:gridCol w:w="2320"/>
      </w:tblGrid>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所</w:t>
            </w:r>
            <w:r>
              <w:rPr>
                <w:rStyle w:val="11"/>
                <w:sz w:val="24"/>
                <w:szCs w:val="24"/>
                <w:bdr w:val="none" w:color="auto" w:sz="0" w:space="0"/>
              </w:rPr>
              <w:t>在单位</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需求专业</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博士</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使用意图</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联系人</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联系电话</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简历投递邮箱</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动物科学学院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rPr>
                <w:sz w:val="24"/>
                <w:szCs w:val="24"/>
              </w:rPr>
            </w:pPr>
            <w:r>
              <w:rPr>
                <w:sz w:val="24"/>
                <w:szCs w:val="24"/>
                <w:bdr w:val="none" w:color="auto" w:sz="0" w:space="0"/>
              </w:rPr>
              <w:t>动物营养与饲料、动物遗传育种与繁殖</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刘院长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贺院长</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0550-6732066</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0550-6732088</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dwkxxy@ahstu.edu.cn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兽医学</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建筑学院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风景园林</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张院长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刘老师</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0552-3197201</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0552-3197203</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jzxy@ahstu.edu.cn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城乡规划</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建筑学</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土木工程</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财经学院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管理学（财务管理、会计学、审计学等）、经济学（金融学、国际经济与贸易、统计学等）</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郝院长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肖老师</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0552-3197048</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0552-3197050</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cjxy@ahstu.edu.cn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化学与材料工程学院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材料科学与工程（光伏与锂离子电池方向）</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3</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宋院长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李院长</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0552-3197359</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0552-3197361</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hcxy@ahstu.edu.cn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无机非金属材料工程</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外国语学院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英语语言文学</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陈院长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郑老师</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0550-6719002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0550-6732025</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wyxy@ahstu.edu.cn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资源与环境学院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环境科学与工程、农业资源与环境</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李院长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李老师</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0550-6732656</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zyhj@ahstu.edu.cn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地图学与地理信息系统</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电气与电子工程学院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光电信息科学与工程及相近专业</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夏院长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刘老师</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0552-3197588</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0552-3197591</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dqdz@ahstu.edu.cn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电气工程、建筑电气及相近专业</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3</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管理学院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工商管理类、管理科学与工程类、计算机类</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陈院长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秦老师</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0552-3197062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0552-3197064</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glxy@ahstu.edu.cn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工商管理类、管理科学与工程类、物流管理类</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3</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机械工程学院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机械工程类相关专业、工业设计专业、智能制造工程专业</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3</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陈院长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乔院长</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0550-6734666</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0550-6734840</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jxgc@ahstu.edu.cn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机械电子工程、机器人工程类相关专业</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3</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车辆工程、农业工程、农业装备相关专业</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农学院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园艺（食用菌或微生物方向）</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崔院长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舒院长</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0550-6733037</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0550-6732166</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nxy@ahstu.edu.cn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智慧农业或农业工程、种子或遗传育种</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植物保护</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人文学院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中国语言文学/法学</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李院长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高老师</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0550-6719126</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0550-6719100</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rwxy@ahstu.edu.cn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国际法、心理学</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信息与网络工程学院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数学类、计算机类、信息与通信工程</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6</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余院长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何院长</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0552-3197079</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xxwlgc@ahstu.edu.cn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生命与健康科学学院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生物制药、制药工程、发酵工程</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孙院长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陈院长</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0550-6732226</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0550-6732024</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sky@ahstu.edu.cn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中药学（中药药理学、中药资源、药用植物学、中药炮制学、中药制剂等方向）</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中医学（中医临床基础、伤寒等方向）</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中药学、药剂学、生药学、药物代谢等相关专业</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分析化学、纳米材料、生物传感</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食品工程学院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食品工程、粮食工程</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杜院长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汪老师</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0550-6733103</w:t>
            </w:r>
          </w:p>
        </w:tc>
        <w:tc>
          <w:tcPr>
            <w:tcW w:w="0" w:type="auto"/>
            <w:vMerge w:val="restart"/>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spxy@ahstu.edu.cn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烹饪与营养教育</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食品安全</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c>
          <w:tcPr>
            <w:tcW w:w="0" w:type="auto"/>
            <w:vMerge w:val="continue"/>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rPr>
                <w:rFonts w:hint="eastAsia" w:ascii="宋体"/>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0" w:type="dxa"/>
            <w:left w:w="0" w:type="dxa"/>
            <w:bottom w:w="0" w:type="dxa"/>
            <w:right w:w="0" w:type="dxa"/>
          </w:tblCellMar>
        </w:tblPrEx>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马克思主义学院</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马克思主义理论</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2</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张院长</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王老师</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0550-6732612</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my@ahstu.edu.cn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体育教学部</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体育学</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教学科研</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孙主任</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樊老师</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0550-6733855</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tyb@ahstu.edu.cn</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gridSpan w:val="2"/>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合计</w:t>
            </w:r>
          </w:p>
        </w:tc>
        <w:tc>
          <w:tcPr>
            <w:tcW w:w="36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60</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 </w:t>
            </w:r>
          </w:p>
        </w:tc>
        <w:tc>
          <w:tcPr>
            <w:tcW w:w="1200" w:type="dxa"/>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 </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 </w:t>
            </w:r>
          </w:p>
        </w:tc>
        <w:tc>
          <w:tcPr>
            <w:tcW w:w="0" w:type="auto"/>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keepNext w:val="0"/>
              <w:keepLines w:val="0"/>
              <w:widowControl/>
              <w:suppressLineNumbers w:val="0"/>
              <w:spacing w:line="336" w:lineRule="atLeast"/>
              <w:ind w:left="0" w:firstLine="0"/>
              <w:jc w:val="center"/>
              <w:rPr>
                <w:sz w:val="24"/>
                <w:szCs w:val="24"/>
              </w:rPr>
            </w:pPr>
            <w:r>
              <w:rPr>
                <w:rFonts w:ascii="宋体" w:hAnsi="宋体" w:eastAsia="宋体" w:cs="宋体"/>
                <w:kern w:val="0"/>
                <w:sz w:val="24"/>
                <w:szCs w:val="24"/>
                <w:bdr w:val="none" w:color="auto" w:sz="0" w:space="0"/>
                <w:lang w:val="en-US" w:eastAsia="zh-CN" w:bidi="ar"/>
              </w:rPr>
              <w:t> </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0" w:type="auto"/>
            <w:gridSpan w:val="7"/>
            <w:tcBorders>
              <w:top w:val="outset" w:color="auto" w:sz="6" w:space="0"/>
              <w:left w:val="outset" w:color="auto" w:sz="6" w:space="0"/>
              <w:bottom w:val="single" w:color="CCCCCC" w:sz="4" w:space="0"/>
              <w:right w:val="single" w:color="CCCCCC" w:sz="4" w:space="0"/>
            </w:tcBorders>
            <w:shd w:val="clear"/>
            <w:tcMar>
              <w:left w:w="60" w:type="dxa"/>
              <w:right w:w="60" w:type="dxa"/>
            </w:tcM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备注：教学岗位（硕士研究生）、实验员岗位、辅导员岗位、管理岗位等由学校统一发布招聘信息，具体请关注学校人事处网页。</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24"/>
          <w:szCs w:val="24"/>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gxszwhr@163.com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QQ博士交流群2：</w:t>
      </w:r>
      <w:r>
        <w:rPr>
          <w:rStyle w:val="11"/>
          <w:rFonts w:hint="default" w:ascii="Verdana" w:hAnsi="Verdana" w:eastAsia="宋体" w:cs="Verdana"/>
          <w:i w:val="0"/>
          <w:iCs w:val="0"/>
          <w:caps w:val="0"/>
          <w:color w:val="FF0000"/>
          <w:spacing w:val="0"/>
          <w:sz w:val="24"/>
          <w:szCs w:val="24"/>
        </w:rPr>
        <w:t>474552006</w:t>
      </w:r>
      <w:r>
        <w:rPr>
          <w:rFonts w:hint="default" w:ascii="Verdana" w:hAnsi="Verdana" w:eastAsia="宋体" w:cs="Verdana"/>
          <w:i w:val="0"/>
          <w:iCs w:val="0"/>
          <w:caps w:val="0"/>
          <w:color w:val="333333"/>
          <w:spacing w:val="0"/>
          <w:sz w:val="24"/>
          <w:szCs w:val="24"/>
        </w:rPr>
        <w:t xml:space="preserve">， </w:t>
      </w:r>
      <w:r>
        <w:rPr>
          <w:rFonts w:hint="eastAsia" w:ascii="Verdana" w:hAnsi="Verdana" w:eastAsia="宋体" w:cs="Verdana"/>
          <w:i w:val="0"/>
          <w:iCs w:val="0"/>
          <w:caps w:val="0"/>
          <w:color w:val="333333"/>
          <w:spacing w:val="0"/>
          <w:sz w:val="24"/>
          <w:szCs w:val="24"/>
          <w:lang w:val="en-US" w:eastAsia="zh-CN"/>
        </w:rPr>
        <w:t>硕士</w:t>
      </w:r>
      <w:r>
        <w:rPr>
          <w:rFonts w:hint="default" w:ascii="Verdana" w:hAnsi="Verdana" w:eastAsia="宋体" w:cs="Verdana"/>
          <w:i w:val="0"/>
          <w:iCs w:val="0"/>
          <w:caps w:val="0"/>
          <w:color w:val="333333"/>
          <w:spacing w:val="0"/>
          <w:sz w:val="24"/>
          <w:szCs w:val="24"/>
        </w:rPr>
        <w:t>交流群：</w:t>
      </w:r>
      <w:r>
        <w:rPr>
          <w:rStyle w:val="11"/>
          <w:rFonts w:hint="default" w:ascii="Verdana" w:hAnsi="Verdana" w:eastAsia="宋体" w:cs="Verdana"/>
          <w:i w:val="0"/>
          <w:iCs w:val="0"/>
          <w:caps w:val="0"/>
          <w:color w:val="FF0000"/>
          <w:spacing w:val="0"/>
          <w:sz w:val="24"/>
          <w:szCs w:val="24"/>
        </w:rPr>
        <w:t>904560179</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w:t>
      </w:r>
      <w:r>
        <w:rPr>
          <w:rFonts w:hint="eastAsia" w:ascii="宋体" w:hAnsi="宋体" w:eastAsia="宋体" w:cs="宋体"/>
          <w:color w:val="FF0000"/>
          <w:sz w:val="24"/>
          <w:szCs w:val="24"/>
        </w:rPr>
        <w:t>客服</w:t>
      </w:r>
      <w:r>
        <w:rPr>
          <w:rFonts w:hint="eastAsia" w:ascii="宋体" w:hAnsi="宋体" w:eastAsia="宋体" w:cs="宋体"/>
          <w:color w:val="auto"/>
          <w:sz w:val="24"/>
          <w:szCs w:val="24"/>
        </w:rPr>
        <w:t>惠惠儿老师</w:t>
      </w:r>
      <w:r>
        <w:rPr>
          <w:rFonts w:hint="eastAsia" w:ascii="宋体" w:hAnsi="宋体" w:eastAsia="宋体" w:cs="宋体"/>
          <w:color w:val="FF0000"/>
          <w:sz w:val="24"/>
          <w:szCs w:val="24"/>
        </w:rPr>
        <w:t>微信号码：15210763946</w:t>
      </w:r>
      <w:r>
        <w:rPr>
          <w:rFonts w:hint="eastAsia" w:ascii="宋体" w:hAnsi="宋体" w:eastAsia="宋体" w:cs="宋体"/>
          <w:color w:val="FF0000"/>
          <w:sz w:val="24"/>
          <w:szCs w:val="24"/>
          <w:lang w:val="en-US" w:eastAsia="zh-CN"/>
        </w:rPr>
        <w:t>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5505450" cy="2480945"/>
            <wp:effectExtent l="0" t="0" r="11430" b="3175"/>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5"/>
                    <a:stretch>
                      <a:fillRect/>
                    </a:stretch>
                  </pic:blipFill>
                  <pic:spPr>
                    <a:xfrm>
                      <a:off x="0" y="0"/>
                      <a:ext cx="5505450" cy="2480945"/>
                    </a:xfrm>
                    <a:prstGeom prst="rect">
                      <a:avLst/>
                    </a:prstGeom>
                    <a:noFill/>
                    <a:ln w="9525">
                      <a:noFill/>
                    </a:ln>
                  </pic:spPr>
                </pic:pic>
              </a:graphicData>
            </a:graphic>
          </wp:inline>
        </w:drawing>
      </w:r>
    </w:p>
    <w:sectPr>
      <w:head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64EE0"/>
    <w:rsid w:val="068A44F0"/>
    <w:rsid w:val="09872C57"/>
    <w:rsid w:val="0CC06E77"/>
    <w:rsid w:val="0D193F09"/>
    <w:rsid w:val="0FAA4354"/>
    <w:rsid w:val="0FB874A4"/>
    <w:rsid w:val="14674D1C"/>
    <w:rsid w:val="147F4C92"/>
    <w:rsid w:val="14B4453A"/>
    <w:rsid w:val="165252AD"/>
    <w:rsid w:val="17E102E4"/>
    <w:rsid w:val="197310E2"/>
    <w:rsid w:val="197856F4"/>
    <w:rsid w:val="19F61AB2"/>
    <w:rsid w:val="1A373139"/>
    <w:rsid w:val="1D7A0CFC"/>
    <w:rsid w:val="21134AD8"/>
    <w:rsid w:val="24580E6E"/>
    <w:rsid w:val="247479B7"/>
    <w:rsid w:val="28A3523A"/>
    <w:rsid w:val="28B450FC"/>
    <w:rsid w:val="28F940AD"/>
    <w:rsid w:val="2B120F8C"/>
    <w:rsid w:val="2E531BE2"/>
    <w:rsid w:val="314D4C40"/>
    <w:rsid w:val="32A77C15"/>
    <w:rsid w:val="38F03729"/>
    <w:rsid w:val="39371855"/>
    <w:rsid w:val="3A427D7E"/>
    <w:rsid w:val="3AB918A1"/>
    <w:rsid w:val="3B913AA4"/>
    <w:rsid w:val="3BB37D4C"/>
    <w:rsid w:val="3CEA7B05"/>
    <w:rsid w:val="3DF56999"/>
    <w:rsid w:val="3E92015B"/>
    <w:rsid w:val="3F7C6224"/>
    <w:rsid w:val="41717E98"/>
    <w:rsid w:val="41722A03"/>
    <w:rsid w:val="4653603B"/>
    <w:rsid w:val="49A21BA8"/>
    <w:rsid w:val="4C0731ED"/>
    <w:rsid w:val="512B75BB"/>
    <w:rsid w:val="52C1090F"/>
    <w:rsid w:val="56061EFD"/>
    <w:rsid w:val="586F1923"/>
    <w:rsid w:val="58762146"/>
    <w:rsid w:val="5A900BEA"/>
    <w:rsid w:val="5BCF6CF7"/>
    <w:rsid w:val="5CA12FA0"/>
    <w:rsid w:val="5EA31278"/>
    <w:rsid w:val="61A82188"/>
    <w:rsid w:val="659F265C"/>
    <w:rsid w:val="6628055F"/>
    <w:rsid w:val="6E796040"/>
    <w:rsid w:val="70E65CA3"/>
    <w:rsid w:val="720F4553"/>
    <w:rsid w:val="72A82C37"/>
    <w:rsid w:val="72FF353B"/>
    <w:rsid w:val="73AF2CDC"/>
    <w:rsid w:val="7532297B"/>
    <w:rsid w:val="75A67861"/>
    <w:rsid w:val="75C24340"/>
    <w:rsid w:val="7A772BA1"/>
    <w:rsid w:val="7B2D6662"/>
    <w:rsid w:val="7DEA6DD7"/>
    <w:rsid w:val="7E012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office2</cp:lastModifiedBy>
  <dcterms:modified xsi:type="dcterms:W3CDTF">2022-01-04T03:53:25Z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468A9DA0C1994F43A76EB771EE12B21B</vt:lpwstr>
  </property>
</Properties>
</file>