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hint="eastAsia" w:ascii="微软雅黑" w:hAnsi="微软雅黑" w:eastAsia="微软雅黑" w:cs="微软雅黑"/>
          <w:i w:val="0"/>
          <w:iCs w:val="0"/>
          <w:caps w:val="0"/>
          <w:color w:val="000000"/>
          <w:spacing w:val="0"/>
          <w:sz w:val="48"/>
          <w:szCs w:val="48"/>
          <w:lang w:eastAsia="zh-CN"/>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2022年渤海大学诚聘</w:t>
      </w:r>
      <w:r>
        <w:rPr>
          <w:rFonts w:hint="eastAsia" w:ascii="微软雅黑" w:hAnsi="微软雅黑" w:eastAsia="微软雅黑" w:cs="微软雅黑"/>
          <w:i w:val="0"/>
          <w:iCs w:val="0"/>
          <w:caps w:val="0"/>
          <w:color w:val="000000"/>
          <w:spacing w:val="0"/>
          <w:sz w:val="48"/>
          <w:szCs w:val="48"/>
          <w:bdr w:val="none" w:color="auto" w:sz="0" w:space="0"/>
          <w:lang w:val="en-US" w:eastAsia="zh-CN"/>
        </w:rPr>
        <w:t>公告</w:t>
      </w:r>
    </w:p>
    <w:bookmarkEnd w:id="0"/>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"https://www.gxszw.com/zhaopin/bhdx/50222.html" \o "2022年渤海大学长年诚聘博士及在"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长年诚聘博士及在读博士</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rStyle w:val="11"/>
          <w:b/>
          <w:i w:val="0"/>
          <w:iCs w:val="0"/>
          <w:caps w:val="0"/>
          <w:color w:val="000000"/>
          <w:spacing w:val="0"/>
          <w:sz w:val="27"/>
          <w:szCs w:val="27"/>
          <w:bdr w:val="none" w:color="auto" w:sz="0" w:space="0"/>
          <w:shd w:val="clear" w:fill="EEEEEE"/>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渤海大学始建于1950年2月，是辽宁省政府主办的综合性大学，位于渤海之滨的历史文化名城辽宁省锦州市。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占地2250余亩，总建筑面积60万平方米。设有19个二级学院，48个本科招生专业，拥有18个一级学科硕士学位授权点和7个专业硕士学位授权点，涵盖经、法、教、文、史、哲、理、工、农、管、艺等学科门类，现有全日制硕士研究生、本科在校生21900余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有专任教师1200余人，其中教授近200人，博士近500人。专任教师中，有国家科技进步二等奖获得者、国家高层次人才特殊支持计划获得者、国家优秀青年科学基金获得者、国家百千万人才入选者、全国优秀教师、教育部优秀人才支持计划入选者、辽宁省攀登学者、辽宁省特聘教授、辽宁省“兴辽计划”哲学社会科学领军人才、辽宁省“兴辽计划”教学名师、辽宁省“兴辽计划”青年拔尖人才、辽宁省优秀专家、辽宁省优秀人才支持计划入选者、辽宁省院士后备人选培养工程人选、辽宁省“百千万人才工程”百人层次入选者、千人层次入选者、省级优秀科技人才、省级教学名师、省级专业带头人、省级优秀教师等近百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有省一流学科A类建设项目1个、省一流特色学科项目3个、省重点学科培育项目7个。有国家地方联合工程研究中心1个、农业农村部技术研发专业中心1个、国家新闻出版广电总局重点实验室1个、教育部国别与区域研究中心1个、省高校重大科技平台1个、省教育厅校企联盟2个、省产业技术研究院1个、省高等学校新型智库1个、省产业技术创新战略联盟3个、省2011协同创新中心1个、省重点实验室4个、省高校重点实验室3个、省工程技术研究中心5个、省工程研究中心3个、省高校人文社会科学重点研究基地1个、省教育科学规划重点研究基地3个、辽宁经济社会发展研究基地1个、省大学科技园1个、省科普基地1个，其他省级平台3个。建设了国家火炬计划锦州硅材料及太阳能电池产业基地公共检测中心，现有省高校创新团队11个。有国家级、省级特色（示范）专业、试点专业18个，建设国家级、省级精品资源课程57门，国家级、省级精品教材23部，教改立项105项，获得国家级、省级优秀教学成果奖60项，居省内高校前列。有7个省级教学团队，有8个省级实验教学示范中心。根据科睿唯安2020年11月份发布的最新ESI数据显示，渤海大学工程、化学、计算机、农学4个学科进入全球ESI前1%学科。在2019年上海软科最好大学排行榜中，渤海大学位居全国第152位、辽宁省高校第6位；《中国研究生教育及学科专业评价报告（2019-2020）》显示，渤海大学在中国高校一流学科建设综合竞争力排行榜中位列142位，省内第5位；在中国研究生教育一级学科竞争力排行榜中，食品科学与工程学科位列全国第12位，省内第1位。在2020年软科世界一流学科排名中，渤海大学有4个学科入选世界一流学科前500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学校现有招生单位涉及的全部相关专业。</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519"/>
        <w:gridCol w:w="1107"/>
        <w:gridCol w:w="1805"/>
        <w:gridCol w:w="1208"/>
        <w:gridCol w:w="3339"/>
        <w:gridCol w:w="577"/>
        <w:gridCol w:w="1228"/>
        <w:gridCol w:w="854"/>
        <w:gridCol w:w="2802"/>
        <w:gridCol w:w="833"/>
        <w:gridCol w:w="1256"/>
        <w:gridCol w:w="1176"/>
        <w:gridCol w:w="996"/>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序号</w:t>
            </w:r>
          </w:p>
        </w:tc>
        <w:tc>
          <w:tcPr>
            <w:tcW w:w="153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w:t>
            </w:r>
            <w:r>
              <w:rPr>
                <w:rFonts w:ascii="宋体" w:hAnsi="宋体" w:eastAsia="宋体" w:cs="宋体"/>
                <w:b/>
                <w:bCs/>
                <w:color w:val="000000"/>
                <w:kern w:val="0"/>
                <w:sz w:val="21"/>
                <w:szCs w:val="21"/>
                <w:bdr w:val="none" w:color="auto" w:sz="0" w:space="0"/>
                <w:lang w:val="en-US" w:eastAsia="zh-CN" w:bidi="ar"/>
              </w:rPr>
              <w:br w:type="textWrapping"/>
            </w:r>
            <w:r>
              <w:rPr>
                <w:rFonts w:ascii="宋体" w:hAnsi="宋体" w:eastAsia="宋体" w:cs="宋体"/>
                <w:b/>
                <w:bCs/>
                <w:color w:val="000000"/>
                <w:kern w:val="0"/>
                <w:sz w:val="21"/>
                <w:szCs w:val="21"/>
                <w:bdr w:val="none" w:color="auto" w:sz="0" w:space="0"/>
                <w:lang w:val="en-US" w:eastAsia="zh-CN" w:bidi="ar"/>
              </w:rPr>
              <w:t>单位</w:t>
            </w:r>
          </w:p>
        </w:tc>
        <w:tc>
          <w:tcPr>
            <w:tcW w:w="256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w:t>
            </w:r>
            <w:r>
              <w:rPr>
                <w:rFonts w:ascii="宋体" w:hAnsi="宋体" w:eastAsia="宋体" w:cs="宋体"/>
                <w:b/>
                <w:bCs/>
                <w:color w:val="000000"/>
                <w:kern w:val="0"/>
                <w:sz w:val="21"/>
                <w:szCs w:val="21"/>
                <w:bdr w:val="none" w:color="auto" w:sz="0" w:space="0"/>
                <w:lang w:val="en-US" w:eastAsia="zh-CN" w:bidi="ar"/>
              </w:rPr>
              <w:br w:type="textWrapping"/>
            </w:r>
            <w:r>
              <w:rPr>
                <w:rFonts w:ascii="宋体" w:hAnsi="宋体" w:eastAsia="宋体" w:cs="宋体"/>
                <w:b/>
                <w:bCs/>
                <w:color w:val="000000"/>
                <w:kern w:val="0"/>
                <w:sz w:val="21"/>
                <w:szCs w:val="21"/>
                <w:bdr w:val="none" w:color="auto" w:sz="0" w:space="0"/>
                <w:lang w:val="en-US" w:eastAsia="zh-CN" w:bidi="ar"/>
              </w:rPr>
              <w:t>名称</w:t>
            </w:r>
          </w:p>
        </w:tc>
        <w:tc>
          <w:tcPr>
            <w:tcW w:w="168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w:t>
            </w:r>
            <w:r>
              <w:rPr>
                <w:rFonts w:ascii="宋体" w:hAnsi="宋体" w:eastAsia="宋体" w:cs="宋体"/>
                <w:b/>
                <w:bCs/>
                <w:color w:val="000000"/>
                <w:kern w:val="0"/>
                <w:sz w:val="21"/>
                <w:szCs w:val="21"/>
                <w:bdr w:val="none" w:color="auto" w:sz="0" w:space="0"/>
                <w:lang w:val="en-US" w:eastAsia="zh-CN" w:bidi="ar"/>
              </w:rPr>
              <w:br w:type="textWrapping"/>
            </w:r>
            <w:r>
              <w:rPr>
                <w:rFonts w:ascii="宋体" w:hAnsi="宋体" w:eastAsia="宋体" w:cs="宋体"/>
                <w:b/>
                <w:bCs/>
                <w:color w:val="000000"/>
                <w:kern w:val="0"/>
                <w:sz w:val="21"/>
                <w:szCs w:val="21"/>
                <w:bdr w:val="none" w:color="auto" w:sz="0" w:space="0"/>
                <w:lang w:val="en-US" w:eastAsia="zh-CN" w:bidi="ar"/>
              </w:rPr>
              <w:t>类别</w:t>
            </w:r>
          </w:p>
        </w:tc>
        <w:tc>
          <w:tcPr>
            <w:tcW w:w="463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岗位简介</w:t>
            </w:r>
          </w:p>
        </w:tc>
        <w:tc>
          <w:tcPr>
            <w:tcW w:w="64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招聘人数</w:t>
            </w:r>
          </w:p>
        </w:tc>
        <w:tc>
          <w:tcPr>
            <w:tcW w:w="0" w:type="auto"/>
            <w:gridSpan w:val="5"/>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招聘条件</w:t>
            </w:r>
          </w:p>
        </w:tc>
        <w:tc>
          <w:tcPr>
            <w:tcW w:w="84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    方式</w:t>
            </w:r>
          </w:p>
        </w:tc>
        <w:tc>
          <w:tcPr>
            <w:tcW w:w="136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备注</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53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256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68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463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64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7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学历</w:t>
            </w:r>
          </w:p>
        </w:tc>
        <w:tc>
          <w:tcPr>
            <w:tcW w:w="115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学位</w:t>
            </w:r>
          </w:p>
        </w:tc>
        <w:tc>
          <w:tcPr>
            <w:tcW w:w="358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专    业</w:t>
            </w:r>
          </w:p>
        </w:tc>
        <w:tc>
          <w:tcPr>
            <w:tcW w:w="112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工作经历</w:t>
            </w:r>
          </w:p>
        </w:tc>
        <w:tc>
          <w:tcPr>
            <w:tcW w:w="16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其他条件</w:t>
            </w:r>
          </w:p>
        </w:tc>
        <w:tc>
          <w:tcPr>
            <w:tcW w:w="84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36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经济学院专任教师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从事经济学、会计学、金融学专业的教学与科研工作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经济学门类、工商管理类、管理科学与工程类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教育科学学院专任教师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教育学原理一级学科，及其下属教育学原理、课程与教学论、教育技术学、高等教育学、学前教育学、职业教育学、小学教育、学前教育、心理健康教育、现代教育技术等十个二级学科的教学与科研工作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教育学类、心理学类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文学院专任教师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从事汉语言文学（师范）和汉语国际教育（师范）专业的教学与科研工作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中国语言文学类、汉语国际教育、写作学</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历史文化学院专任教师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从事历史学（师范）专业、文物与博物馆学专业的教学与科研工作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历史学类、社会学类、中国语言文学类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数学科学学院专任教师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从事数学与应用数学（师范）、信息与计算科学专业的教学与科研工作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数学类、控制科学与工程类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6</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物理科学与技术学院专任教师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从事物理学（师范）专业、微电子科学与工程专业、电子信息工程专业和通信工程专业的教学与科研工作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物理学类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化学与材料工程学院专任教师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从事化学（师范）、应用化学、新能源材料与器件、环境工程专业的教学与科研工作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7 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材料科学与工程类、化学类、化学工程与技术类、环境科学与工程类、轻工技术与工程类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食品科学与工程学院专任教师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从事食品科学与工程、食品质量与安全专业的教学与科研工作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食品科学与工程类、轻工技术与工程类、生物学类、化学类、海洋科学类、农学门类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9</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控制科学与工程学院专任教师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从事自动化、电气工程及其自动化、机械工程专业的教学与科研工作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控制科学与工程类、电气工程类、电子科学与技术类、信息与通信工程类、仪器科学与技术类、航空宇航科学与技术类、机械工程类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10</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信息科学与技术学院专任教师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从事计算机科学与技术、物联网工程、软件工程、智能科学与技术专业的教学与科研工作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计算机科学与技术类,信息与通信工程类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11</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管理学院专任教师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从事工商管理类专业的教学与科研工作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工商管理类、管理科学与工程类、农林经济管理类、公共管理类、经济学门类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具有10年及以上企业经营管理工作经历，则年龄可放宽至1972年1月1日及以后出生。</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12</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音乐学院专任教师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从事音乐表演、音乐学（师范）专业的教学与科研工作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音乐与舞蹈学类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13</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美术学院专任教师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从事绘画、美术学（师范）、环境设计专业的教学与科研工作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艺术学理论类、美术学类、设计学类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14</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马克思主义学院专任教师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从事思想政治教育（师范）的教学与科研工作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5 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哲学类、政治学类、马克思主义理论类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马克思主义基本原理、马克思主义中国化研究、中国近现代史基本问题研究专业优先</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15</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法学院专任教师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从事法学专业教学与科研工作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法学类(一级学科)</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具有与行业相关的5年以上工作经历和副高级及以上专业技术职务资格者，学位可为硕士，本科阶段须为法学专业毕业。</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16</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航运学院专任教师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从事航海技术和轮机工程专业的教学与科研工作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机械学类、船舶与海洋工程类、交通运输工程类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具有与行业相关的副高级及以上专业技术职务资格者，且具有10年及以上海上工作经历者，学位可为硕士，年龄可放宽至1972年1月1日及以后出生。</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17</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体育学院专任教师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从事体育教育、社会体育指导与管理专业的教学与科研工作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体育学类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18</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新闻与传播学院专任教师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从事新闻学、广播电视编导、播音主持艺术专业的教学与科研工作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新闻传播学类、戏剧与影视学类、中国语言文学类、马克思主义理论类、历史学类</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19</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渤海大学</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外国语学院专任教师</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专业技术</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从事英语（师范）专业的教学与科研工作</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博士</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英语语言文学、课程与教学论（英语）、外国语言学及应用语言学</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考核</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66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5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25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w:t>
            </w:r>
          </w:p>
        </w:tc>
        <w:tc>
          <w:tcPr>
            <w:tcW w:w="463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64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80 </w:t>
            </w:r>
          </w:p>
        </w:tc>
        <w:tc>
          <w:tcPr>
            <w:tcW w:w="17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w:t>
            </w:r>
          </w:p>
        </w:tc>
        <w:tc>
          <w:tcPr>
            <w:tcW w:w="115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w:t>
            </w:r>
          </w:p>
        </w:tc>
        <w:tc>
          <w:tcPr>
            <w:tcW w:w="358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12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65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84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 </w:t>
            </w:r>
          </w:p>
        </w:tc>
        <w:tc>
          <w:tcPr>
            <w:tcW w:w="136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1.普通博士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认定讲师职称，安家费8-10万元(税前，一次性)，购房补助25万元(税前，一次性)，科研启动费文科2-5万元、理工科5-10万元，博士津贴1200元/月，租房补助1200元/月(一次性发放一年)，按省属事业编制单位职工标准正常发放月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2.优秀博士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考核特别优秀的博士毕业生，经学院推荐，可以向学校申请签署优秀博士协议。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优秀博士除享受普通博士的全部待遇外，购房补助核增5万元，享受20万元的协议年薪(须承担相应的教学科研任务)。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3.拥有博士学位的具有副教授及以上职称的教师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具有副教授专业职务的博士购房补贴发放标准为27万元，具有教授专业职务的博士购房补贴发放标准为30万元，其他待遇参照普通博士待遇。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4.预聘博士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在读博士研究生可以与学校签订《预聘博士协议书》，约定毕业之后来校工作，在读期间享受2000元/月的生活补助。(海外院校在读博士原则上不预聘。)</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四、应聘程序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1.应聘人员随时在我校人才招聘网站注册并投递简历(网址：</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"http://rczp.bhu.edu.cn/"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none"/>
          <w:bdr w:val="none" w:color="auto" w:sz="0" w:space="0"/>
        </w:rPr>
        <w:t>http://rczp.bhu.edu.cn/</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2.学校人事部门初审;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3.学院复审，安排面试试讲;</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4.通过试讲后人事处与应聘人协商签署《聘任协议》;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5.应聘人员提供毕业证、学位证、学历认证等原件，人事部门办理备案手续。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联系电话：0416-3400310 联系人：商老师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诚挚欢迎全国各地的优秀人才来渤海大学建功立业!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5445DC5"/>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592048"/>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2022-10-31T02:27:11Z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