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center"/>
        <w:rPr>
          <w:rFonts w:ascii="微软雅黑" w:hAnsi="微软雅黑" w:eastAsia="微软雅黑" w:cs="微软雅黑"/>
          <w:i w:val="0"/>
          <w:iCs w:val="0"/>
          <w:caps w:val="0"/>
          <w:color w:val="000000"/>
          <w:spacing w:val="0"/>
          <w:sz w:val="48"/>
          <w:szCs w:val="48"/>
        </w:rPr>
      </w:pPr>
      <w:r>
        <w:rPr>
          <w:rFonts w:hint="eastAsia" w:ascii="微软雅黑" w:hAnsi="微软雅黑" w:eastAsia="微软雅黑" w:cs="微软雅黑"/>
          <w:i w:val="0"/>
          <w:iCs w:val="0"/>
          <w:caps w:val="0"/>
          <w:color w:val="000000"/>
          <w:spacing w:val="0"/>
          <w:sz w:val="48"/>
          <w:szCs w:val="48"/>
          <w:bdr w:val="none" w:color="auto" w:sz="0" w:space="0"/>
        </w:rPr>
        <w:t>浙江师范大学专任教</w:t>
      </w:r>
      <w:bookmarkStart w:id="0" w:name="_GoBack"/>
      <w:bookmarkEnd w:id="0"/>
      <w:r>
        <w:rPr>
          <w:rFonts w:hint="eastAsia" w:ascii="微软雅黑" w:hAnsi="微软雅黑" w:eastAsia="微软雅黑" w:cs="微软雅黑"/>
          <w:i w:val="0"/>
          <w:iCs w:val="0"/>
          <w:caps w:val="0"/>
          <w:color w:val="000000"/>
          <w:spacing w:val="0"/>
          <w:sz w:val="48"/>
          <w:szCs w:val="48"/>
          <w:bdr w:val="none" w:color="auto" w:sz="0" w:space="0"/>
        </w:rPr>
        <w:t>师招聘公告</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浙江师范大学是一所以教师教育为特色的综合性省属重点大学，前身是杭州师范专科学校，1956年4月16日经教育部批准设立，1958年升格为杭州师范学院。1962年，杭州师范学院与浙江教育学院、浙江体育学院合并，更名为浙江师范学院。1965年，浙江师范学院从杭州搬迁至金华，1985年更名为浙江师范大学。2000年、2001年、2004年浙江财政学校、浙江幼儿师范学校和金华铁路司机学校相继并入。2015年，学校入选浙江省首批重点建设高校，2020年获评第二届“全国文明校园”。现由金华(校本部)、杭州(西湖校区、萧山校区)、兰溪3个校区，20个学院(含独立学院)组成。</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学科门类齐全，有72个本科专业，11个一级学科博士点，1个博士专业学位类别，30个一级学科硕士点，13个硕士专业学位类别，7个博士后流动站，2个国家“111计划”学科创新引智基地。数学、化学、工程学、材料学、环境/生态学5个学科进入ESI全球前1%，20个学科列入浙江省一流学科。拥有国家级一流本科专业建设点24个，国家级课程28门，国家级实验教学示范中心4个。</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师资结构合理，拥有中国科学院院士1名、共享中国科学院院士5名、中国工程院院士1名，长江学者特聘教授3人，青年长江学者2人，海外高层次人才7人，国家万人计划人才4人，国家新世纪百千万人才工程6人，国家突出贡献专家2人，国家杰出青年科学基金获得者1人，国家优秀青年科学基金获得者1人，享受国务院特殊津贴24人。</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现诚邀广大海内外高层次人才(杰出教授、“双龙学者”特聘教授)与优秀青年博士加盟我校。期待与各位优秀人才一起逐梦一流!</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p>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line="480" w:lineRule="atLeast"/>
        <w:ind w:left="0" w:right="0"/>
        <w:rPr>
          <w:sz w:val="27"/>
          <w:szCs w:val="27"/>
        </w:rPr>
      </w:pPr>
      <w:r>
        <w:rPr>
          <w:i w:val="0"/>
          <w:iCs w:val="0"/>
          <w:caps w:val="0"/>
          <w:color w:val="000000"/>
          <w:spacing w:val="0"/>
          <w:sz w:val="27"/>
          <w:szCs w:val="27"/>
          <w:bdr w:val="single" w:color="005CF9" w:sz="48" w:space="0"/>
          <w:shd w:val="clear" w:fill="EEEEEE"/>
        </w:rPr>
        <w:t>一、全力打造人才沃土</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学校秉承“砺学砺行、维实维新”校训精神，统筹推进一流大学、一流学科建设，以浙江省重点高校建设为契机，按“精教育、强人文、特理工、优交叉”的思路，调整优化学科专业布局，推进学科造峰，重点培育和形成了一批高水平的优势学科、特色学科和重点研究领域，是各类优秀人才大展身手的良好舞台。</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(一)事业平台优势</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学校经历60余年的建设发展，已在一系列学科领域崭露头角，学科建设成效显著，拥有20个省一流学科，并列省属高校之首;在教育部第四轮学科评估中，10个学科获评B级以上，列浙江省属高校前列;拥有省部级及以上科研平台41个。学校学科建设目前已进入稳健发展阶段，优秀人才加盟我校，达到研究生导师条件的优秀青年博士在入职当年或次年可招收研究生，学科的硬件、软件及团队力量可以迅速形成合力。</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(二)生活保障优势</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学校生活保障配套完善，根据政策提供有竞争力的薪酬、安家费和周转公寓。学校拥有自幼儿园至高中段全系列优质附属学校，全力协助教工子女接受优质教育，并在入境、落户、配偶工作安置医疗保健等方面，积极做好相关服务工作。帮助优秀人才尽快融入环境，解除后顾之忧，实现安居乐业。</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(三)工作环境优势</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学校是近十年来我国发展进步最快的高校之一，当前正处于特色鲜明一流大学建设的关键期，充满朝气与活力。师资学缘多样开放，地缘兼容并包。学校为优秀人才提供良好的工作条件;提供充足的科研启动费;在团队建设、研究生招生、重大科研项目申请、奖项申报等方面给予倾斜支持;提供良好的办公和实验条件，帮助组建或融入科研团队，根据需要配备科研助手，并视个人及团队建设发展情况追加支持。发展就是机遇，优秀人才加盟我校，具有良好的自我实现空间。</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(四)地理区位优势</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学校本部位于长三角区域的金华市，是浙江省地理中心，拥有高铁枢纽与机场，处于上海两小时经济圈之内，高铁通勤时间距上海1.5小时，距杭州45分钟;学校在杭州设有西湖校区与萧山校区。在日常出行、学术交流方面，学校具有便捷的区位优势。</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(五)文化氛围优势</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金华是浙学发源地，风物清嘉、风俗淳厚，是全国山水宜居之城、休闲养心之地、健康饮食之都。学校重视协调发展，强调人文关怀。建设教工餐厅，改造阅览空间，精心构建交流场所。定期组织健康体检与休闲疗养，工会娱乐活动有声有色。优秀人才加盟我校，在安心工作之余，也能拥有心灵栖居的温馨家园。</w:t>
      </w:r>
    </w:p>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line="480" w:lineRule="atLeast"/>
        <w:ind w:left="0" w:right="0"/>
        <w:rPr>
          <w:sz w:val="27"/>
          <w:szCs w:val="27"/>
        </w:rPr>
      </w:pPr>
      <w:r>
        <w:rPr>
          <w:i w:val="0"/>
          <w:iCs w:val="0"/>
          <w:caps w:val="0"/>
          <w:color w:val="000000"/>
          <w:spacing w:val="0"/>
          <w:sz w:val="27"/>
          <w:szCs w:val="27"/>
          <w:bdr w:val="single" w:color="005CF9" w:sz="48" w:space="0"/>
          <w:shd w:val="clear" w:fill="EEEEEE"/>
        </w:rPr>
        <w:t>二、高层次人才引进政策</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按照拟引进人员的教学科研水平分杰出教授、双龙学者两大类引进。具体要求如下：</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(一)杰出教授</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Style w:val="11"/>
          <w:rFonts w:hint="eastAsia" w:ascii="微软雅黑" w:hAnsi="微软雅黑" w:eastAsia="微软雅黑" w:cs="微软雅黑"/>
          <w:i w:val="0"/>
          <w:iCs w:val="0"/>
          <w:caps w:val="0"/>
          <w:color w:val="000000"/>
          <w:spacing w:val="0"/>
          <w:sz w:val="21"/>
          <w:szCs w:val="21"/>
          <w:bdr w:val="none" w:color="auto" w:sz="0" w:space="0"/>
        </w:rPr>
        <w:t>A类：</w:t>
      </w:r>
      <w:r>
        <w:rPr>
          <w:rFonts w:hint="eastAsia" w:ascii="微软雅黑" w:hAnsi="微软雅黑" w:eastAsia="微软雅黑" w:cs="微软雅黑"/>
          <w:i w:val="0"/>
          <w:iCs w:val="0"/>
          <w:caps w:val="0"/>
          <w:color w:val="000000"/>
          <w:spacing w:val="0"/>
          <w:sz w:val="21"/>
          <w:szCs w:val="21"/>
          <w:bdr w:val="none" w:color="auto" w:sz="0" w:space="0"/>
        </w:rPr>
        <w:t>教学科研水平达到或接近院士、国家重大人才工程计划以及海内外具有与上述人才相当学术地位和成就的学者。</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Style w:val="11"/>
          <w:rFonts w:hint="eastAsia" w:ascii="微软雅黑" w:hAnsi="微软雅黑" w:eastAsia="微软雅黑" w:cs="微软雅黑"/>
          <w:i w:val="0"/>
          <w:iCs w:val="0"/>
          <w:caps w:val="0"/>
          <w:color w:val="000000"/>
          <w:spacing w:val="0"/>
          <w:sz w:val="21"/>
          <w:szCs w:val="21"/>
          <w:bdr w:val="none" w:color="auto" w:sz="0" w:space="0"/>
        </w:rPr>
        <w:t>B类：</w:t>
      </w:r>
      <w:r>
        <w:rPr>
          <w:rFonts w:hint="eastAsia" w:ascii="微软雅黑" w:hAnsi="微软雅黑" w:eastAsia="微软雅黑" w:cs="微软雅黑"/>
          <w:i w:val="0"/>
          <w:iCs w:val="0"/>
          <w:caps w:val="0"/>
          <w:color w:val="000000"/>
          <w:spacing w:val="0"/>
          <w:sz w:val="21"/>
          <w:szCs w:val="21"/>
          <w:bdr w:val="none" w:color="auto" w:sz="0" w:space="0"/>
        </w:rPr>
        <w:t>教学科研水平达到或接近国家重要人才工程青年计划的人才以及海内外具有与上述人才相当学术水平的学者。</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Style w:val="11"/>
          <w:rFonts w:hint="eastAsia" w:ascii="微软雅黑" w:hAnsi="微软雅黑" w:eastAsia="微软雅黑" w:cs="微软雅黑"/>
          <w:i w:val="0"/>
          <w:iCs w:val="0"/>
          <w:caps w:val="0"/>
          <w:color w:val="000000"/>
          <w:spacing w:val="0"/>
          <w:sz w:val="21"/>
          <w:szCs w:val="21"/>
          <w:bdr w:val="none" w:color="auto" w:sz="0" w:space="0"/>
        </w:rPr>
        <w:t>C类：</w:t>
      </w:r>
      <w:r>
        <w:rPr>
          <w:rFonts w:hint="eastAsia" w:ascii="微软雅黑" w:hAnsi="微软雅黑" w:eastAsia="微软雅黑" w:cs="微软雅黑"/>
          <w:i w:val="0"/>
          <w:iCs w:val="0"/>
          <w:caps w:val="0"/>
          <w:color w:val="000000"/>
          <w:spacing w:val="0"/>
          <w:sz w:val="21"/>
          <w:szCs w:val="21"/>
          <w:bdr w:val="none" w:color="auto" w:sz="0" w:space="0"/>
        </w:rPr>
        <w:t>教学科研水平达到或接近浙江省“万人计划”、浙江省海外高层次人才引进计划以及海内外具有与上述人才相当学术水平的学者。</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待遇：(服务期10年，首聘期5年)</w:t>
      </w:r>
    </w:p>
    <w:tbl>
      <w:tblPr>
        <w:tblW w:w="17700" w:type="dxa"/>
        <w:tblInd w:w="0" w:type="dxa"/>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Layout w:type="autofit"/>
        <w:tblCellMar>
          <w:top w:w="0" w:type="dxa"/>
          <w:left w:w="0" w:type="dxa"/>
          <w:bottom w:w="0" w:type="dxa"/>
          <w:right w:w="0" w:type="dxa"/>
        </w:tblCellMar>
      </w:tblPr>
      <w:tblGrid>
        <w:gridCol w:w="2482"/>
        <w:gridCol w:w="3736"/>
        <w:gridCol w:w="3845"/>
        <w:gridCol w:w="5073"/>
        <w:gridCol w:w="2564"/>
      </w:tblGrid>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1365" w:type="dxa"/>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bdr w:val="none" w:color="auto" w:sz="0" w:space="0"/>
              </w:rPr>
              <w:t>杰出教授</w:t>
            </w:r>
          </w:p>
        </w:tc>
        <w:tc>
          <w:tcPr>
            <w:tcW w:w="4170" w:type="dxa"/>
            <w:gridSpan w:val="2"/>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bdr w:val="none" w:color="auto" w:sz="0" w:space="0"/>
              </w:rPr>
              <w:t>安家费</w:t>
            </w:r>
          </w:p>
        </w:tc>
        <w:tc>
          <w:tcPr>
            <w:tcW w:w="2790" w:type="dxa"/>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bdr w:val="none" w:color="auto" w:sz="0" w:space="0"/>
              </w:rPr>
              <w:t>科研启动费</w:t>
            </w:r>
          </w:p>
        </w:tc>
        <w:tc>
          <w:tcPr>
            <w:tcW w:w="1410" w:type="dxa"/>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bdr w:val="none" w:color="auto" w:sz="0" w:space="0"/>
              </w:rPr>
              <w:t>薪酬</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136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A类</w:t>
            </w:r>
          </w:p>
        </w:tc>
        <w:tc>
          <w:tcPr>
            <w:tcW w:w="8355" w:type="dxa"/>
            <w:gridSpan w:val="4"/>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安家费、科研启动费和薪酬面议；</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1365" w:type="dxa"/>
            <w:vMerge w:val="restart"/>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杰出教授</w:t>
            </w:r>
          </w:p>
        </w:tc>
        <w:tc>
          <w:tcPr>
            <w:tcW w:w="4170" w:type="dxa"/>
            <w:gridSpan w:val="2"/>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安家费</w:t>
            </w:r>
          </w:p>
        </w:tc>
        <w:tc>
          <w:tcPr>
            <w:tcW w:w="2790" w:type="dxa"/>
            <w:vMerge w:val="restart"/>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科研启动费</w:t>
            </w:r>
          </w:p>
        </w:tc>
        <w:tc>
          <w:tcPr>
            <w:tcW w:w="1410" w:type="dxa"/>
            <w:vMerge w:val="restart"/>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薪酬</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1365" w:type="dxa"/>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205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基础性安家费</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绩效性安家费</w:t>
            </w:r>
          </w:p>
        </w:tc>
        <w:tc>
          <w:tcPr>
            <w:tcW w:w="2790" w:type="dxa"/>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1410" w:type="dxa"/>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136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B类</w:t>
            </w:r>
          </w:p>
        </w:tc>
        <w:tc>
          <w:tcPr>
            <w:tcW w:w="205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来校正式签约报到后，学校提供基础性安家费260万元</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完成目标任务提供绩效性安家费50万元</w:t>
            </w:r>
          </w:p>
        </w:tc>
        <w:tc>
          <w:tcPr>
            <w:tcW w:w="279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人文社科≥50万元;</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理 科≥100万元;</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工 科≥150万元</w:t>
            </w:r>
          </w:p>
        </w:tc>
        <w:tc>
          <w:tcPr>
            <w:tcW w:w="141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≥66万元/年</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c>
          <w:tcPr>
            <w:tcW w:w="136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C类</w:t>
            </w:r>
          </w:p>
        </w:tc>
        <w:tc>
          <w:tcPr>
            <w:tcW w:w="205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来校正式签约报到后，学校提供基础性安家费150万元</w:t>
            </w:r>
          </w:p>
        </w:tc>
        <w:tc>
          <w:tcPr>
            <w:tcW w:w="211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完成目标任务提供绩效性安家费50万元</w:t>
            </w:r>
          </w:p>
        </w:tc>
        <w:tc>
          <w:tcPr>
            <w:tcW w:w="279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人文社科≥30万元;</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理 科≥60万元;</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工 科≥80万元</w:t>
            </w:r>
          </w:p>
        </w:tc>
        <w:tc>
          <w:tcPr>
            <w:tcW w:w="141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≥45万元/年</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c>
          <w:tcPr>
            <w:tcW w:w="136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备注</w:t>
            </w:r>
          </w:p>
        </w:tc>
        <w:tc>
          <w:tcPr>
            <w:tcW w:w="8355" w:type="dxa"/>
            <w:gridSpan w:val="4"/>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rPr>
                <w:sz w:val="21"/>
                <w:szCs w:val="21"/>
                <w:bdr w:val="none" w:color="auto" w:sz="0" w:space="0"/>
              </w:rPr>
              <w:t>1.目标任务由双方协商确定；</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rPr>
                <w:sz w:val="21"/>
                <w:szCs w:val="21"/>
                <w:bdr w:val="none" w:color="auto" w:sz="0" w:space="0"/>
              </w:rPr>
              <w:t>2.提供可租住的专家公寓，按照配偶现有编制状态协助解决配偶工作；</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rPr>
                <w:sz w:val="21"/>
                <w:szCs w:val="21"/>
                <w:bdr w:val="none" w:color="auto" w:sz="0" w:space="0"/>
              </w:rPr>
              <w:t>3.金华校区：本年度正式报到，提供一套120平左右房源（以学校可供房源为准，供完为止），可按照购房合同签订年度优惠价格(主房基准价格加楼层系数后所折合的房价)购买。</w:t>
            </w: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jc w:val="cente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(二)双龙学者</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符合浙江师范大学双龙学者特聘教授申报条件的优秀人才(外省省级人才引进纳入双龙学者统筹考虑)。</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1.年龄、职称要求：理工科类年龄一般要求45周岁以下，人文社科类一般要求50周岁以下;应聘者一般应具有正高职称;具有博士学位且具有1年以上国外学习工作经历者可适当放宽。</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2.业绩要求具备下列条件之一：</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(1)获得国家自然科学奖、国家发明奖和国家科技进步奖二等奖及以上(排前三名)，或获得国家级优秀教学成果奖一等奖及以上、省部级科研成果奖一等奖及以上(排前两名)，或获得国家级优秀教学成果奖二等奖、省部级科研成果奖二等奖(排名第一)。</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(2)理工科学者在近六年(自申报当年前推)主持2项及以上国家级一般项目或者主持国家级一般项目1项和省重大、重点项目1项，并取得以下业绩之一：在本学科公认的一流学术期刊发表系列论文(提供6篇代表作)，成果原创性强、影响力大;应用研究和技术创新成果，能有效解决生产实践中关键技术问题，新技术、新产品、新工艺产业化应用效果明显;以第一完成人获省部级科研成果奖三等奖(含青年成果奖、青年科学奖、青年奖、普及读物奖);主编教育部普通高等教育国家级规划教材1部或金课1门。</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(3)人文社科类学者主持2项及以上国家级一般项目或者主持国家级一般项目1项和省重大重点项目1项，并于近六年取得以下业绩之一：在本学科公认的一流学术期刊发表系列论文或省部级以上科研成果(提供3项代表性成果);入选全国哲学社会科学成果文库专著1部;以第一完成人获省部级科研成果奖三等奖(含青年成果奖、青年科学奖、青年奖、普及读物奖);主编教育部普通高等教育国家级规划教材1部或金课1门。</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3.直接引进的高水平博士可不受双龙学者入选条件的限制，应聘者需提供原创性强、影响力大的代表作，其中自然科学类8篇，人文社会科学类4篇。</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4.待遇(服务期10年，首聘期4年)</w:t>
      </w:r>
    </w:p>
    <w:tbl>
      <w:tblPr>
        <w:tblW w:w="17700" w:type="dxa"/>
        <w:tblInd w:w="0" w:type="dxa"/>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Layout w:type="autofit"/>
        <w:tblCellMar>
          <w:top w:w="0" w:type="dxa"/>
          <w:left w:w="0" w:type="dxa"/>
          <w:bottom w:w="0" w:type="dxa"/>
          <w:right w:w="0" w:type="dxa"/>
        </w:tblCellMar>
      </w:tblPr>
      <w:tblGrid>
        <w:gridCol w:w="4556"/>
        <w:gridCol w:w="3835"/>
        <w:gridCol w:w="5363"/>
        <w:gridCol w:w="3946"/>
      </w:tblGrid>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c>
          <w:tcPr>
            <w:tcW w:w="4530" w:type="dxa"/>
            <w:gridSpan w:val="2"/>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bdr w:val="none" w:color="auto" w:sz="0" w:space="0"/>
              </w:rPr>
              <w:t>安家费</w:t>
            </w:r>
          </w:p>
        </w:tc>
        <w:tc>
          <w:tcPr>
            <w:tcW w:w="2895" w:type="dxa"/>
            <w:vMerge w:val="restart"/>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bdr w:val="none" w:color="auto" w:sz="0" w:space="0"/>
              </w:rPr>
              <w:t>科研启动费</w:t>
            </w:r>
          </w:p>
        </w:tc>
        <w:tc>
          <w:tcPr>
            <w:tcW w:w="2130" w:type="dxa"/>
            <w:vMerge w:val="restart"/>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bdr w:val="none" w:color="auto" w:sz="0" w:space="0"/>
              </w:rPr>
              <w:t>薪酬</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tblPrEx>
        <w:tc>
          <w:tcPr>
            <w:tcW w:w="2460" w:type="dxa"/>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bdr w:val="none" w:color="auto" w:sz="0" w:space="0"/>
              </w:rPr>
              <w:t>基础性安家费</w:t>
            </w:r>
          </w:p>
        </w:tc>
        <w:tc>
          <w:tcPr>
            <w:tcW w:w="2070" w:type="dxa"/>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bdr w:val="none" w:color="auto" w:sz="0" w:space="0"/>
              </w:rPr>
              <w:t>绩效性安家费</w:t>
            </w:r>
          </w:p>
        </w:tc>
        <w:tc>
          <w:tcPr>
            <w:tcW w:w="2895" w:type="dxa"/>
            <w:vMerge w:val="continue"/>
            <w:tcBorders>
              <w:top w:val="outset" w:color="auto" w:sz="6" w:space="0"/>
              <w:left w:val="outset" w:color="auto" w:sz="6" w:space="0"/>
              <w:bottom w:val="single" w:color="CCCCCC" w:sz="6" w:space="0"/>
              <w:right w:val="single" w:color="CCCCCC" w:sz="6" w:space="0"/>
            </w:tcBorders>
            <w:shd w:val="clear" w:color="auto" w:fill="F4F9FF"/>
            <w:vAlign w:val="center"/>
          </w:tcPr>
          <w:p>
            <w:pPr>
              <w:jc w:val="center"/>
              <w:rPr>
                <w:rFonts w:hint="eastAsia" w:ascii="宋体"/>
                <w:b/>
                <w:bCs/>
                <w:color w:val="000000"/>
                <w:sz w:val="21"/>
                <w:szCs w:val="21"/>
              </w:rPr>
            </w:pPr>
          </w:p>
        </w:tc>
        <w:tc>
          <w:tcPr>
            <w:tcW w:w="2130" w:type="dxa"/>
            <w:vMerge w:val="continue"/>
            <w:tcBorders>
              <w:top w:val="outset" w:color="auto" w:sz="6" w:space="0"/>
              <w:left w:val="outset" w:color="auto" w:sz="6" w:space="0"/>
              <w:bottom w:val="single" w:color="CCCCCC" w:sz="6" w:space="0"/>
              <w:right w:val="single" w:color="CCCCCC" w:sz="6" w:space="0"/>
            </w:tcBorders>
            <w:shd w:val="clear" w:color="auto" w:fill="F4F9FF"/>
            <w:vAlign w:val="center"/>
          </w:tcPr>
          <w:p>
            <w:pPr>
              <w:jc w:val="center"/>
              <w:rPr>
                <w:rFonts w:hint="eastAsia" w:ascii="宋体"/>
                <w:b/>
                <w:bCs/>
                <w:color w:val="000000"/>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tblPrEx>
        <w:tc>
          <w:tcPr>
            <w:tcW w:w="246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来校正式签约报到后，学校提供基础性安家费100万元</w:t>
            </w:r>
          </w:p>
        </w:tc>
        <w:tc>
          <w:tcPr>
            <w:tcW w:w="207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完成目标任务提供绩效性安家费50万元</w:t>
            </w:r>
          </w:p>
        </w:tc>
        <w:tc>
          <w:tcPr>
            <w:tcW w:w="289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人文社科≥20万元；</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理科≥30万元；</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工科≥50万元</w:t>
            </w:r>
          </w:p>
        </w:tc>
        <w:tc>
          <w:tcPr>
            <w:tcW w:w="213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35-45万元/年（或年津贴15-25万元/年）</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c>
          <w:tcPr>
            <w:tcW w:w="246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备注</w:t>
            </w:r>
          </w:p>
        </w:tc>
        <w:tc>
          <w:tcPr>
            <w:tcW w:w="7095" w:type="dxa"/>
            <w:gridSpan w:val="3"/>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1.提供可租住的专家公寓；</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2.按照配偶现有编制状态协助解决配偶工作。</w:t>
            </w:r>
          </w:p>
        </w:tc>
      </w:tr>
    </w:tbl>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5.目标任务要求</w:t>
      </w:r>
    </w:p>
    <w:tbl>
      <w:tblPr>
        <w:tblW w:w="17700" w:type="dxa"/>
        <w:tblInd w:w="0" w:type="dxa"/>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Layout w:type="autofit"/>
        <w:tblCellMar>
          <w:top w:w="0" w:type="dxa"/>
          <w:left w:w="0" w:type="dxa"/>
          <w:bottom w:w="0" w:type="dxa"/>
          <w:right w:w="0" w:type="dxa"/>
        </w:tblCellMar>
      </w:tblPr>
      <w:tblGrid>
        <w:gridCol w:w="2604"/>
        <w:gridCol w:w="15096"/>
      </w:tblGrid>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1410" w:type="dxa"/>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bdr w:val="none" w:color="auto" w:sz="0" w:space="0"/>
              </w:rPr>
              <w:t>类别</w:t>
            </w:r>
          </w:p>
        </w:tc>
        <w:tc>
          <w:tcPr>
            <w:tcW w:w="8175" w:type="dxa"/>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bdr w:val="none" w:color="auto" w:sz="0" w:space="0"/>
              </w:rPr>
              <w:t>目标任务（项目与其他科研业绩同时具备）</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141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理工科</w:t>
            </w:r>
          </w:p>
        </w:tc>
        <w:tc>
          <w:tcPr>
            <w:tcW w:w="817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rPr>
                <w:sz w:val="21"/>
                <w:szCs w:val="21"/>
                <w:bdr w:val="none" w:color="auto" w:sz="0" w:space="0"/>
              </w:rPr>
              <w:t>1.项目：新主持国家级项目（科研业绩计分1000分及以上）1项；</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rPr>
                <w:sz w:val="21"/>
                <w:szCs w:val="21"/>
                <w:bdr w:val="none" w:color="auto" w:sz="0" w:space="0"/>
              </w:rPr>
              <w:t>2.其他科研业绩：总分1100分（单项100分及以上的科研成果用于计分，其中单项200分及以上4项）。</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c>
          <w:tcPr>
            <w:tcW w:w="141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人文社科</w:t>
            </w:r>
          </w:p>
        </w:tc>
        <w:tc>
          <w:tcPr>
            <w:tcW w:w="817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rPr>
                <w:sz w:val="21"/>
                <w:szCs w:val="21"/>
                <w:bdr w:val="none" w:color="auto" w:sz="0" w:space="0"/>
              </w:rPr>
              <w:t>1.项目：新主持国家项目（科研业绩计分1000分及以上）1项；</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rPr>
                <w:sz w:val="21"/>
                <w:szCs w:val="21"/>
                <w:bdr w:val="none" w:color="auto" w:sz="0" w:space="0"/>
              </w:rPr>
              <w:t>2.其他科研业绩：总分600分（单项100分及以上的科研成果用于计分，其中单项200分及以上1项）。</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c>
          <w:tcPr>
            <w:tcW w:w="141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备注</w:t>
            </w:r>
          </w:p>
        </w:tc>
        <w:tc>
          <w:tcPr>
            <w:tcW w:w="817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rPr>
                <w:sz w:val="21"/>
                <w:szCs w:val="21"/>
                <w:bdr w:val="none" w:color="auto" w:sz="0" w:space="0"/>
              </w:rPr>
              <w:t>1.直接引进的高水平博士，在目标任务中需要增加累计科研业绩计分单项200分的科研成果；</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rPr>
                <w:sz w:val="21"/>
                <w:szCs w:val="21"/>
                <w:bdr w:val="none" w:color="auto" w:sz="0" w:space="0"/>
              </w:rPr>
              <w:t>2.未完成本聘期目标任务，相关已经发放待遇按照以下方式处理：</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rPr>
                <w:sz w:val="21"/>
                <w:szCs w:val="21"/>
                <w:bdr w:val="none" w:color="auto" w:sz="0" w:space="0"/>
              </w:rPr>
              <w:t>（1）学校按照引进人才完成目标任务情况参照青年博士引进待遇核定引进人才享受安家费的数额，引进人才需要退回学校多支付的安家费；</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rPr>
                <w:sz w:val="21"/>
                <w:szCs w:val="21"/>
                <w:bdr w:val="none" w:color="auto" w:sz="0" w:space="0"/>
              </w:rPr>
              <w:t>（2）引进人才需要退回学校本聘期按照双龙学者特聘教授多发部分薪酬；</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rPr>
                <w:sz w:val="21"/>
                <w:szCs w:val="21"/>
                <w:bdr w:val="none" w:color="auto" w:sz="0" w:space="0"/>
              </w:rPr>
              <w:t>（3）在第二个聘期，学校按照引进人才实际职称聘任教师岗位。</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rPr>
                <w:sz w:val="21"/>
                <w:szCs w:val="21"/>
                <w:bdr w:val="none" w:color="auto" w:sz="0" w:space="0"/>
              </w:rPr>
              <w:t>3.学校发展亟需的人才，要求和待遇可以适当调整。</w:t>
            </w:r>
          </w:p>
        </w:tc>
      </w:tr>
    </w:tbl>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6.服务期</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(1)引进人才享受的所有安家费和科研启动费均有十年服务期要求。</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(2)服务期未满离职的：</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A.全额退回已经享受的所有安家费;</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B.按照实际工作时间核减后退回剩余部分科研启动费;</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C.缴纳壹拾万元额度的提前离开违约金。</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(三)备注说明</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1.年薪含国家和学校规定的基本工资、绩效工资、各类津贴的总量，以及个人、单位需缴纳的五险一金;所涉薪酬、安家费均为税前。</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2.科研业绩计分规则见附件3;</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3.成果归属要求：所有目标任务都必须以浙江师范大学为第一单位、第一作者(第一完成人/主持人)或第一通讯作者身份完成;</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4.科研业绩奖励说明：超出目标任务部分科研业绩按照学校规定可享受学校科研成果奖励;</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5.报到时限要求：拟录用人员经公示无异议的，按规定在公示结束的一年内办理入职手续，逾期未办理入职手续者，将视为放弃岗位，不予录用。</w:t>
      </w:r>
    </w:p>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line="480" w:lineRule="atLeast"/>
        <w:ind w:left="0" w:right="0"/>
        <w:rPr>
          <w:sz w:val="27"/>
          <w:szCs w:val="27"/>
        </w:rPr>
      </w:pPr>
      <w:r>
        <w:rPr>
          <w:i w:val="0"/>
          <w:iCs w:val="0"/>
          <w:caps w:val="0"/>
          <w:color w:val="000000"/>
          <w:spacing w:val="0"/>
          <w:sz w:val="27"/>
          <w:szCs w:val="27"/>
          <w:bdr w:val="single" w:color="005CF9" w:sz="48" w:space="0"/>
          <w:shd w:val="clear" w:fill="EEEEEE"/>
        </w:rPr>
        <w:t>三、青年博士引进政策</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(一)引进对象</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国内外知名大学(研究机构)毕业的青年博士(年龄一般在35周岁以下，特别优秀的可适当放宽年龄限制)。</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(二)首聘期制度</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引进博士实行4年首聘期制度。</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(三)待遇(服务期10年，首聘期4年)</w:t>
      </w:r>
    </w:p>
    <w:tbl>
      <w:tblPr>
        <w:tblW w:w="17700" w:type="dxa"/>
        <w:tblInd w:w="0" w:type="dxa"/>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Layout w:type="autofit"/>
        <w:tblCellMar>
          <w:top w:w="0" w:type="dxa"/>
          <w:left w:w="0" w:type="dxa"/>
          <w:bottom w:w="0" w:type="dxa"/>
          <w:right w:w="0" w:type="dxa"/>
        </w:tblCellMar>
      </w:tblPr>
      <w:tblGrid>
        <w:gridCol w:w="6582"/>
        <w:gridCol w:w="4314"/>
        <w:gridCol w:w="4591"/>
        <w:gridCol w:w="2213"/>
      </w:tblGrid>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5910" w:type="dxa"/>
            <w:gridSpan w:val="2"/>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bdr w:val="none" w:color="auto" w:sz="0" w:space="0"/>
              </w:rPr>
              <w:t>安家费</w:t>
            </w:r>
          </w:p>
        </w:tc>
        <w:tc>
          <w:tcPr>
            <w:tcW w:w="2490" w:type="dxa"/>
            <w:vMerge w:val="restart"/>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bdr w:val="none" w:color="auto" w:sz="0" w:space="0"/>
              </w:rPr>
              <w:t>科研启动费</w:t>
            </w:r>
          </w:p>
        </w:tc>
        <w:tc>
          <w:tcPr>
            <w:tcW w:w="1185" w:type="dxa"/>
            <w:vMerge w:val="restart"/>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bdr w:val="none" w:color="auto" w:sz="0" w:space="0"/>
              </w:rPr>
              <w:t>薪酬</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PrEx>
        <w:tc>
          <w:tcPr>
            <w:tcW w:w="3570" w:type="dxa"/>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bdr w:val="none" w:color="auto" w:sz="0" w:space="0"/>
              </w:rPr>
              <w:t>基础性安家费</w:t>
            </w:r>
          </w:p>
        </w:tc>
        <w:tc>
          <w:tcPr>
            <w:tcW w:w="2340" w:type="dxa"/>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bdr w:val="none" w:color="auto" w:sz="0" w:space="0"/>
              </w:rPr>
              <w:t>绩效性安家费</w:t>
            </w:r>
          </w:p>
        </w:tc>
        <w:tc>
          <w:tcPr>
            <w:tcW w:w="2490" w:type="dxa"/>
            <w:vMerge w:val="continue"/>
            <w:tcBorders>
              <w:top w:val="outset" w:color="auto" w:sz="6" w:space="0"/>
              <w:left w:val="outset" w:color="auto" w:sz="6" w:space="0"/>
              <w:bottom w:val="single" w:color="CCCCCC" w:sz="6" w:space="0"/>
              <w:right w:val="single" w:color="CCCCCC" w:sz="6" w:space="0"/>
            </w:tcBorders>
            <w:shd w:val="clear" w:color="auto" w:fill="F4F9FF"/>
            <w:vAlign w:val="center"/>
          </w:tcPr>
          <w:p>
            <w:pPr>
              <w:jc w:val="center"/>
              <w:rPr>
                <w:rFonts w:hint="eastAsia" w:ascii="宋体"/>
                <w:b/>
                <w:bCs/>
                <w:color w:val="000000"/>
                <w:sz w:val="21"/>
                <w:szCs w:val="21"/>
              </w:rPr>
            </w:pPr>
          </w:p>
        </w:tc>
        <w:tc>
          <w:tcPr>
            <w:tcW w:w="1185" w:type="dxa"/>
            <w:vMerge w:val="continue"/>
            <w:tcBorders>
              <w:top w:val="outset" w:color="auto" w:sz="6" w:space="0"/>
              <w:left w:val="outset" w:color="auto" w:sz="6" w:space="0"/>
              <w:bottom w:val="single" w:color="CCCCCC" w:sz="6" w:space="0"/>
              <w:right w:val="single" w:color="CCCCCC" w:sz="6" w:space="0"/>
            </w:tcBorders>
            <w:shd w:val="clear" w:color="auto" w:fill="F4F9FF"/>
            <w:vAlign w:val="center"/>
          </w:tcPr>
          <w:p>
            <w:pPr>
              <w:jc w:val="center"/>
              <w:rPr>
                <w:rFonts w:hint="eastAsia" w:ascii="宋体"/>
                <w:b/>
                <w:bCs/>
                <w:color w:val="000000"/>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357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rPr>
                <w:sz w:val="21"/>
                <w:szCs w:val="21"/>
                <w:bdr w:val="none" w:color="auto" w:sz="0" w:space="0"/>
              </w:rPr>
              <w:t>来校正式签约报到后，学校提供基础性安家费50万元。（报到第一年支付35万元，第二年起每年支付5万元。若首聘期内购房，可向学校申请一次性支付剩余基础性安家费。）</w:t>
            </w:r>
          </w:p>
        </w:tc>
        <w:tc>
          <w:tcPr>
            <w:tcW w:w="234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rPr>
                <w:sz w:val="21"/>
                <w:szCs w:val="21"/>
                <w:bdr w:val="none" w:color="auto" w:sz="0" w:space="0"/>
              </w:rPr>
              <w:t>完成单项科研业绩计分1000分及以上：学校提供绩效性安家费30万元</w:t>
            </w:r>
          </w:p>
        </w:tc>
        <w:tc>
          <w:tcPr>
            <w:tcW w:w="249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人文社科5万元；</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理工科10万元</w:t>
            </w:r>
          </w:p>
        </w:tc>
        <w:tc>
          <w:tcPr>
            <w:tcW w:w="118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按所聘岗位兑现待遇。</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9600" w:type="dxa"/>
            <w:gridSpan w:val="4"/>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rPr>
                <w:sz w:val="21"/>
                <w:szCs w:val="21"/>
                <w:bdr w:val="none" w:color="auto" w:sz="0" w:space="0"/>
              </w:rPr>
              <w:t>备注：</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rPr>
                <w:sz w:val="21"/>
                <w:szCs w:val="21"/>
                <w:bdr w:val="none" w:color="auto" w:sz="0" w:space="0"/>
              </w:rPr>
              <w:t>1.特别优秀者可以直接聘为校聘副教授/教授，首聘期内享受相应的校聘副教授/教授岗位津贴。</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rPr>
                <w:sz w:val="21"/>
                <w:szCs w:val="21"/>
                <w:bdr w:val="none" w:color="auto" w:sz="0" w:space="0"/>
              </w:rPr>
              <w:t>2.科研业绩按照学校规定可享受学校科研成果奖励。</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rPr>
                <w:sz w:val="21"/>
                <w:szCs w:val="21"/>
                <w:bdr w:val="none" w:color="auto" w:sz="0" w:space="0"/>
              </w:rPr>
              <w:t>3.首聘期须完成教学类、科研类、人才类、服务类等业绩总和达到200分，即可享受基础性安家费50万元；若达不到，须退回全部已发放的基础性安家费，学校将不再续聘。</w:t>
            </w: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(四)服务期</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1.引进人才享受的所有安家费和科研启动费、岗位津贴均有十年服务期要求;</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2.服务期未满离职的：</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(1)全额退回已经享受的所有安家费;</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(2)按照实际工作时间核减后退回剩余部分科研启动费;</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(3)缴纳伍万元额度的提前离开违约金。</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(五)备注说明</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1.科研业绩计分规则见附件3、其他业绩计分规则见附件4;</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2.成果归属要求：所有目标任务都必须以浙江师范大学为第一单位、第一作者(第一完成人/主持人)或第一通讯作者身份完成;</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3.薪酬特殊说明：特殊学科、特殊专业或者我校紧缺人才，待遇适当调整。所涉薪酬、安家费均为税前;</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4.报到时限要求：拟录用人员经公示无异议的，按规定在公示结束的一年内办理入职手续，逾期未办理入职手续者，将视为放弃岗位，不予录用。特殊情况可申请延期报到。</w:t>
      </w:r>
    </w:p>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line="480" w:lineRule="atLeast"/>
        <w:ind w:left="0" w:right="0"/>
        <w:rPr>
          <w:sz w:val="27"/>
          <w:szCs w:val="27"/>
        </w:rPr>
      </w:pPr>
      <w:r>
        <w:rPr>
          <w:i w:val="0"/>
          <w:iCs w:val="0"/>
          <w:caps w:val="0"/>
          <w:color w:val="000000"/>
          <w:spacing w:val="0"/>
          <w:sz w:val="27"/>
          <w:szCs w:val="27"/>
          <w:bdr w:val="single" w:color="005CF9" w:sz="48" w:space="0"/>
          <w:shd w:val="clear" w:fill="EEEEEE"/>
        </w:rPr>
        <w:t>四、本政策由学校人力资源部人才办负责解释。</w:t>
      </w:r>
    </w:p>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line="480" w:lineRule="atLeast"/>
        <w:ind w:left="0" w:right="0"/>
        <w:rPr>
          <w:sz w:val="27"/>
          <w:szCs w:val="27"/>
        </w:rPr>
      </w:pPr>
      <w:r>
        <w:rPr>
          <w:i w:val="0"/>
          <w:iCs w:val="0"/>
          <w:caps w:val="0"/>
          <w:color w:val="000000"/>
          <w:spacing w:val="0"/>
          <w:sz w:val="27"/>
          <w:szCs w:val="27"/>
          <w:bdr w:val="single" w:color="005CF9" w:sz="48" w:space="0"/>
          <w:shd w:val="clear" w:fill="EEEEEE"/>
        </w:rPr>
        <w:t>五、报名办法</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Style w:val="11"/>
          <w:rFonts w:hint="eastAsia" w:ascii="微软雅黑" w:hAnsi="微软雅黑" w:eastAsia="微软雅黑" w:cs="微软雅黑"/>
          <w:i w:val="0"/>
          <w:iCs w:val="0"/>
          <w:caps w:val="0"/>
          <w:color w:val="000000"/>
          <w:spacing w:val="0"/>
          <w:sz w:val="21"/>
          <w:szCs w:val="21"/>
          <w:bdr w:val="none" w:color="auto" w:sz="0" w:space="0"/>
        </w:rPr>
        <w:t>(一)报名方式：</w:t>
      </w:r>
      <w:r>
        <w:rPr>
          <w:rFonts w:hint="eastAsia" w:ascii="微软雅黑" w:hAnsi="微软雅黑" w:eastAsia="微软雅黑" w:cs="微软雅黑"/>
          <w:i w:val="0"/>
          <w:iCs w:val="0"/>
          <w:caps w:val="0"/>
          <w:color w:val="000000"/>
          <w:spacing w:val="0"/>
          <w:sz w:val="21"/>
          <w:szCs w:val="21"/>
          <w:bdr w:val="none" w:color="auto" w:sz="0" w:space="0"/>
        </w:rPr>
        <w:t>应聘者可通过电子邮件(zhaopin@zjnu.edu.cn)直接报名。</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Style w:val="11"/>
          <w:rFonts w:hint="eastAsia" w:ascii="微软雅黑" w:hAnsi="微软雅黑" w:eastAsia="微软雅黑" w:cs="微软雅黑"/>
          <w:i w:val="0"/>
          <w:iCs w:val="0"/>
          <w:caps w:val="0"/>
          <w:color w:val="000000"/>
          <w:spacing w:val="0"/>
          <w:sz w:val="21"/>
          <w:szCs w:val="21"/>
          <w:bdr w:val="none" w:color="auto" w:sz="0" w:space="0"/>
        </w:rPr>
        <w:t>(二)报名材料：</w:t>
      </w:r>
      <w:r>
        <w:rPr>
          <w:rFonts w:hint="eastAsia" w:ascii="微软雅黑" w:hAnsi="微软雅黑" w:eastAsia="微软雅黑" w:cs="微软雅黑"/>
          <w:i w:val="0"/>
          <w:iCs w:val="0"/>
          <w:caps w:val="0"/>
          <w:color w:val="000000"/>
          <w:spacing w:val="0"/>
          <w:sz w:val="21"/>
          <w:szCs w:val="21"/>
          <w:bdr w:val="none" w:color="auto" w:sz="0" w:space="0"/>
        </w:rPr>
        <w:t>报名表见附件1、岗位表见附件2</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Style w:val="11"/>
          <w:rFonts w:hint="eastAsia" w:ascii="微软雅黑" w:hAnsi="微软雅黑" w:eastAsia="微软雅黑" w:cs="微软雅黑"/>
          <w:i w:val="0"/>
          <w:iCs w:val="0"/>
          <w:caps w:val="0"/>
          <w:color w:val="000000"/>
          <w:spacing w:val="0"/>
          <w:sz w:val="21"/>
          <w:szCs w:val="21"/>
          <w:bdr w:val="none" w:color="auto" w:sz="0" w:space="0"/>
        </w:rPr>
        <w:t>(三)联系方式：</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Style w:val="11"/>
          <w:rFonts w:hint="eastAsia" w:ascii="微软雅黑" w:hAnsi="微软雅黑" w:eastAsia="微软雅黑" w:cs="微软雅黑"/>
          <w:i w:val="0"/>
          <w:iCs w:val="0"/>
          <w:caps w:val="0"/>
          <w:color w:val="000000"/>
          <w:spacing w:val="0"/>
          <w:sz w:val="21"/>
          <w:szCs w:val="21"/>
          <w:bdr w:val="none" w:color="auto" w:sz="0" w:space="0"/>
        </w:rPr>
        <w:t>通信地址：</w:t>
      </w:r>
      <w:r>
        <w:rPr>
          <w:rFonts w:hint="eastAsia" w:ascii="微软雅黑" w:hAnsi="微软雅黑" w:eastAsia="微软雅黑" w:cs="微软雅黑"/>
          <w:i w:val="0"/>
          <w:iCs w:val="0"/>
          <w:caps w:val="0"/>
          <w:color w:val="000000"/>
          <w:spacing w:val="0"/>
          <w:sz w:val="21"/>
          <w:szCs w:val="21"/>
          <w:bdr w:val="none" w:color="auto" w:sz="0" w:space="0"/>
        </w:rPr>
        <w:t>浙江省金华市迎宾大道688号浙江师范大学人事处(邮编：321004)</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Style w:val="11"/>
          <w:rFonts w:hint="eastAsia" w:ascii="微软雅黑" w:hAnsi="微软雅黑" w:eastAsia="微软雅黑" w:cs="微软雅黑"/>
          <w:i w:val="0"/>
          <w:iCs w:val="0"/>
          <w:caps w:val="0"/>
          <w:color w:val="000000"/>
          <w:spacing w:val="0"/>
          <w:sz w:val="21"/>
          <w:szCs w:val="21"/>
          <w:bdr w:val="none" w:color="auto" w:sz="0" w:space="0"/>
        </w:rPr>
        <w:t>咨询电话：</w:t>
      </w:r>
      <w:r>
        <w:rPr>
          <w:rFonts w:hint="eastAsia" w:ascii="微软雅黑" w:hAnsi="微软雅黑" w:eastAsia="微软雅黑" w:cs="微软雅黑"/>
          <w:i w:val="0"/>
          <w:iCs w:val="0"/>
          <w:caps w:val="0"/>
          <w:color w:val="000000"/>
          <w:spacing w:val="0"/>
          <w:sz w:val="21"/>
          <w:szCs w:val="21"/>
          <w:bdr w:val="none" w:color="auto" w:sz="0" w:space="0"/>
        </w:rPr>
        <w:t>0579-82282441(姜老师、才老师、周老师)</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Style w:val="11"/>
          <w:rFonts w:hint="eastAsia" w:ascii="微软雅黑" w:hAnsi="微软雅黑" w:eastAsia="微软雅黑" w:cs="微软雅黑"/>
          <w:i w:val="0"/>
          <w:iCs w:val="0"/>
          <w:caps w:val="0"/>
          <w:color w:val="000000"/>
          <w:spacing w:val="0"/>
          <w:sz w:val="21"/>
          <w:szCs w:val="21"/>
          <w:bdr w:val="none" w:color="auto" w:sz="0" w:space="0"/>
        </w:rPr>
        <w:t>电子信箱：</w:t>
      </w:r>
      <w:r>
        <w:rPr>
          <w:rFonts w:hint="eastAsia" w:ascii="微软雅黑" w:hAnsi="微软雅黑" w:eastAsia="微软雅黑" w:cs="微软雅黑"/>
          <w:i w:val="0"/>
          <w:iCs w:val="0"/>
          <w:caps w:val="0"/>
          <w:color w:val="000000"/>
          <w:spacing w:val="0"/>
          <w:sz w:val="21"/>
          <w:szCs w:val="21"/>
          <w:bdr w:val="none" w:color="auto" w:sz="0" w:space="0"/>
        </w:rPr>
        <w:t>zhaopin@zjnu.edu.cn抄送邮箱gxszwhr@163.com，投递简历注明(高校师资网+专业+学历+毕业院校)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更多校园招聘信息请添加客服李老师微信号码：13718504267 了解关注！</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4B4B4B"/>
          <w:spacing w:val="0"/>
          <w:sz w:val="21"/>
          <w:szCs w:val="21"/>
          <w:u w:val="none"/>
          <w:bdr w:val="none" w:color="auto" w:sz="0" w:space="0"/>
        </w:rPr>
        <w:fldChar w:fldCharType="begin"/>
      </w:r>
      <w:r>
        <w:rPr>
          <w:rFonts w:hint="eastAsia" w:ascii="微软雅黑" w:hAnsi="微软雅黑" w:eastAsia="微软雅黑" w:cs="微软雅黑"/>
          <w:i w:val="0"/>
          <w:iCs w:val="0"/>
          <w:caps w:val="0"/>
          <w:color w:val="4B4B4B"/>
          <w:spacing w:val="0"/>
          <w:sz w:val="21"/>
          <w:szCs w:val="21"/>
          <w:u w:val="none"/>
          <w:bdr w:val="none" w:color="auto" w:sz="0" w:space="0"/>
        </w:rPr>
        <w:instrText xml:space="preserve"> HYPERLINK "https://www.gxszw.com/uploads/soft/220323/8-2203230TT4.doc" \t "https://www.gxszw.com/zhaopin/zjsfdx/_blank" </w:instrText>
      </w:r>
      <w:r>
        <w:rPr>
          <w:rFonts w:hint="eastAsia" w:ascii="微软雅黑" w:hAnsi="微软雅黑" w:eastAsia="微软雅黑" w:cs="微软雅黑"/>
          <w:i w:val="0"/>
          <w:iCs w:val="0"/>
          <w:caps w:val="0"/>
          <w:color w:val="4B4B4B"/>
          <w:spacing w:val="0"/>
          <w:sz w:val="21"/>
          <w:szCs w:val="21"/>
          <w:u w:val="none"/>
          <w:bdr w:val="none" w:color="auto" w:sz="0" w:space="0"/>
        </w:rPr>
        <w:fldChar w:fldCharType="separate"/>
      </w:r>
      <w:r>
        <w:rPr>
          <w:rStyle w:val="14"/>
          <w:rFonts w:hint="eastAsia" w:ascii="微软雅黑" w:hAnsi="微软雅黑" w:eastAsia="微软雅黑" w:cs="微软雅黑"/>
          <w:i w:val="0"/>
          <w:iCs w:val="0"/>
          <w:caps w:val="0"/>
          <w:color w:val="4B4B4B"/>
          <w:spacing w:val="0"/>
          <w:sz w:val="21"/>
          <w:szCs w:val="21"/>
          <w:u w:val="single"/>
          <w:bdr w:val="none" w:color="auto" w:sz="0" w:space="0"/>
        </w:rPr>
        <w:t>附件1：浙江师范大学专任教师应聘报名表</w:t>
      </w:r>
      <w:r>
        <w:rPr>
          <w:rFonts w:hint="eastAsia" w:ascii="微软雅黑" w:hAnsi="微软雅黑" w:eastAsia="微软雅黑" w:cs="微软雅黑"/>
          <w:i w:val="0"/>
          <w:iCs w:val="0"/>
          <w:caps w:val="0"/>
          <w:color w:val="4B4B4B"/>
          <w:spacing w:val="0"/>
          <w:sz w:val="21"/>
          <w:szCs w:val="21"/>
          <w:u w:val="none"/>
          <w:bdr w:val="none" w:color="auto" w:sz="0" w:space="0"/>
        </w:rPr>
        <w:fldChar w:fldCharType="end"/>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4B4B4B"/>
          <w:spacing w:val="0"/>
          <w:sz w:val="21"/>
          <w:szCs w:val="21"/>
          <w:u w:val="none"/>
          <w:bdr w:val="none" w:color="auto" w:sz="0" w:space="0"/>
        </w:rPr>
        <w:fldChar w:fldCharType="begin"/>
      </w:r>
      <w:r>
        <w:rPr>
          <w:rFonts w:hint="eastAsia" w:ascii="微软雅黑" w:hAnsi="微软雅黑" w:eastAsia="微软雅黑" w:cs="微软雅黑"/>
          <w:i w:val="0"/>
          <w:iCs w:val="0"/>
          <w:caps w:val="0"/>
          <w:color w:val="4B4B4B"/>
          <w:spacing w:val="0"/>
          <w:sz w:val="21"/>
          <w:szCs w:val="21"/>
          <w:u w:val="none"/>
          <w:bdr w:val="none" w:color="auto" w:sz="0" w:space="0"/>
        </w:rPr>
        <w:instrText xml:space="preserve"> HYPERLINK "https://www.gxszw.com/uploads/soft/220322/8-2203221I502.pdf" \t "https://www.gxszw.com/zhaopin/zjsfdx/_blank" </w:instrText>
      </w:r>
      <w:r>
        <w:rPr>
          <w:rFonts w:hint="eastAsia" w:ascii="微软雅黑" w:hAnsi="微软雅黑" w:eastAsia="微软雅黑" w:cs="微软雅黑"/>
          <w:i w:val="0"/>
          <w:iCs w:val="0"/>
          <w:caps w:val="0"/>
          <w:color w:val="4B4B4B"/>
          <w:spacing w:val="0"/>
          <w:sz w:val="21"/>
          <w:szCs w:val="21"/>
          <w:u w:val="none"/>
          <w:bdr w:val="none" w:color="auto" w:sz="0" w:space="0"/>
        </w:rPr>
        <w:fldChar w:fldCharType="separate"/>
      </w:r>
      <w:r>
        <w:rPr>
          <w:rStyle w:val="14"/>
          <w:rFonts w:hint="eastAsia" w:ascii="微软雅黑" w:hAnsi="微软雅黑" w:eastAsia="微软雅黑" w:cs="微软雅黑"/>
          <w:i w:val="0"/>
          <w:iCs w:val="0"/>
          <w:caps w:val="0"/>
          <w:color w:val="4B4B4B"/>
          <w:spacing w:val="0"/>
          <w:sz w:val="21"/>
          <w:szCs w:val="21"/>
          <w:u w:val="single"/>
          <w:bdr w:val="none" w:color="auto" w:sz="0" w:space="0"/>
        </w:rPr>
        <w:t>附件2：浙江师范大学2022年专任教师岗招聘计划</w:t>
      </w:r>
      <w:r>
        <w:rPr>
          <w:rFonts w:hint="eastAsia" w:ascii="微软雅黑" w:hAnsi="微软雅黑" w:eastAsia="微软雅黑" w:cs="微软雅黑"/>
          <w:i w:val="0"/>
          <w:iCs w:val="0"/>
          <w:caps w:val="0"/>
          <w:color w:val="4B4B4B"/>
          <w:spacing w:val="0"/>
          <w:sz w:val="21"/>
          <w:szCs w:val="21"/>
          <w:u w:val="none"/>
          <w:bdr w:val="none" w:color="auto" w:sz="0" w:space="0"/>
        </w:rPr>
        <w:fldChar w:fldCharType="end"/>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4B4B4B"/>
          <w:spacing w:val="0"/>
          <w:sz w:val="21"/>
          <w:szCs w:val="21"/>
          <w:u w:val="none"/>
          <w:bdr w:val="none" w:color="auto" w:sz="0" w:space="0"/>
        </w:rPr>
        <w:fldChar w:fldCharType="begin"/>
      </w:r>
      <w:r>
        <w:rPr>
          <w:rFonts w:hint="eastAsia" w:ascii="微软雅黑" w:hAnsi="微软雅黑" w:eastAsia="微软雅黑" w:cs="微软雅黑"/>
          <w:i w:val="0"/>
          <w:iCs w:val="0"/>
          <w:caps w:val="0"/>
          <w:color w:val="4B4B4B"/>
          <w:spacing w:val="0"/>
          <w:sz w:val="21"/>
          <w:szCs w:val="21"/>
          <w:u w:val="none"/>
          <w:bdr w:val="none" w:color="auto" w:sz="0" w:space="0"/>
        </w:rPr>
        <w:instrText xml:space="preserve"> HYPERLINK "https://www.gxszw.com/uploads/soft/220322/8-2203221I522.pdf" \t "https://www.gxszw.com/zhaopin/zjsfdx/_blank" </w:instrText>
      </w:r>
      <w:r>
        <w:rPr>
          <w:rFonts w:hint="eastAsia" w:ascii="微软雅黑" w:hAnsi="微软雅黑" w:eastAsia="微软雅黑" w:cs="微软雅黑"/>
          <w:i w:val="0"/>
          <w:iCs w:val="0"/>
          <w:caps w:val="0"/>
          <w:color w:val="4B4B4B"/>
          <w:spacing w:val="0"/>
          <w:sz w:val="21"/>
          <w:szCs w:val="21"/>
          <w:u w:val="none"/>
          <w:bdr w:val="none" w:color="auto" w:sz="0" w:space="0"/>
        </w:rPr>
        <w:fldChar w:fldCharType="separate"/>
      </w:r>
      <w:r>
        <w:rPr>
          <w:rStyle w:val="14"/>
          <w:rFonts w:hint="eastAsia" w:ascii="微软雅黑" w:hAnsi="微软雅黑" w:eastAsia="微软雅黑" w:cs="微软雅黑"/>
          <w:i w:val="0"/>
          <w:iCs w:val="0"/>
          <w:caps w:val="0"/>
          <w:color w:val="4B4B4B"/>
          <w:spacing w:val="0"/>
          <w:sz w:val="21"/>
          <w:szCs w:val="21"/>
          <w:u w:val="single"/>
          <w:bdr w:val="none" w:color="auto" w:sz="0" w:space="0"/>
        </w:rPr>
        <w:t>附件3：浙江师范大学引进人才科研业绩计分办法</w:t>
      </w:r>
      <w:r>
        <w:rPr>
          <w:rFonts w:hint="eastAsia" w:ascii="微软雅黑" w:hAnsi="微软雅黑" w:eastAsia="微软雅黑" w:cs="微软雅黑"/>
          <w:i w:val="0"/>
          <w:iCs w:val="0"/>
          <w:caps w:val="0"/>
          <w:color w:val="4B4B4B"/>
          <w:spacing w:val="0"/>
          <w:sz w:val="21"/>
          <w:szCs w:val="21"/>
          <w:u w:val="none"/>
          <w:bdr w:val="none" w:color="auto" w:sz="0" w:space="0"/>
        </w:rPr>
        <w:fldChar w:fldCharType="end"/>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4B4B4B"/>
          <w:spacing w:val="0"/>
          <w:sz w:val="21"/>
          <w:szCs w:val="21"/>
          <w:u w:val="none"/>
          <w:bdr w:val="none" w:color="auto" w:sz="0" w:space="0"/>
        </w:rPr>
        <w:fldChar w:fldCharType="begin"/>
      </w:r>
      <w:r>
        <w:rPr>
          <w:rFonts w:hint="eastAsia" w:ascii="微软雅黑" w:hAnsi="微软雅黑" w:eastAsia="微软雅黑" w:cs="微软雅黑"/>
          <w:i w:val="0"/>
          <w:iCs w:val="0"/>
          <w:caps w:val="0"/>
          <w:color w:val="4B4B4B"/>
          <w:spacing w:val="0"/>
          <w:sz w:val="21"/>
          <w:szCs w:val="21"/>
          <w:u w:val="none"/>
          <w:bdr w:val="none" w:color="auto" w:sz="0" w:space="0"/>
        </w:rPr>
        <w:instrText xml:space="preserve"> HYPERLINK "https://www.gxszw.com/uploads/soft/220322/8-2203221I541.pdf" \t "https://www.gxszw.com/zhaopin/zjsfdx/_blank" </w:instrText>
      </w:r>
      <w:r>
        <w:rPr>
          <w:rFonts w:hint="eastAsia" w:ascii="微软雅黑" w:hAnsi="微软雅黑" w:eastAsia="微软雅黑" w:cs="微软雅黑"/>
          <w:i w:val="0"/>
          <w:iCs w:val="0"/>
          <w:caps w:val="0"/>
          <w:color w:val="4B4B4B"/>
          <w:spacing w:val="0"/>
          <w:sz w:val="21"/>
          <w:szCs w:val="21"/>
          <w:u w:val="none"/>
          <w:bdr w:val="none" w:color="auto" w:sz="0" w:space="0"/>
        </w:rPr>
        <w:fldChar w:fldCharType="separate"/>
      </w:r>
      <w:r>
        <w:rPr>
          <w:rStyle w:val="14"/>
          <w:rFonts w:hint="eastAsia" w:ascii="微软雅黑" w:hAnsi="微软雅黑" w:eastAsia="微软雅黑" w:cs="微软雅黑"/>
          <w:i w:val="0"/>
          <w:iCs w:val="0"/>
          <w:caps w:val="0"/>
          <w:color w:val="4B4B4B"/>
          <w:spacing w:val="0"/>
          <w:sz w:val="21"/>
          <w:szCs w:val="21"/>
          <w:u w:val="single"/>
          <w:bdr w:val="none" w:color="auto" w:sz="0" w:space="0"/>
        </w:rPr>
        <w:t>附件4：浙江师范大学青年博士引进首聘期其他业绩计分办法</w:t>
      </w:r>
      <w:r>
        <w:rPr>
          <w:rFonts w:hint="eastAsia" w:ascii="微软雅黑" w:hAnsi="微软雅黑" w:eastAsia="微软雅黑" w:cs="微软雅黑"/>
          <w:i w:val="0"/>
          <w:iCs w:val="0"/>
          <w:caps w:val="0"/>
          <w:color w:val="4B4B4B"/>
          <w:spacing w:val="0"/>
          <w:sz w:val="21"/>
          <w:szCs w:val="21"/>
          <w:u w:val="none"/>
          <w:bdr w:val="none" w:color="auto" w:sz="0" w:space="0"/>
        </w:rPr>
        <w:fldChar w:fldCharType="end"/>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left"/>
        <w:rPr>
          <w:rStyle w:val="11"/>
          <w:rFonts w:hint="eastAsia" w:ascii="微软雅黑" w:hAnsi="微软雅黑" w:eastAsia="微软雅黑" w:cs="微软雅黑"/>
          <w:i w:val="0"/>
          <w:iCs w:val="0"/>
          <w:caps w:val="0"/>
          <w:color w:val="FF0000"/>
          <w:spacing w:val="0"/>
          <w:sz w:val="32"/>
          <w:szCs w:val="32"/>
          <w:shd w:val="clear" w:fill="F3F3EB"/>
        </w:rPr>
      </w:pPr>
      <w:r>
        <w:rPr>
          <w:rFonts w:hint="eastAsia" w:ascii="微软雅黑" w:hAnsi="微软雅黑" w:eastAsia="微软雅黑" w:cs="微软雅黑"/>
          <w:b/>
          <w:bCs/>
          <w:i w:val="0"/>
          <w:iCs w:val="0"/>
          <w:caps w:val="0"/>
          <w:color w:val="4B4B4B"/>
          <w:spacing w:val="0"/>
          <w:sz w:val="32"/>
          <w:szCs w:val="32"/>
          <w:u w:val="none"/>
          <w:shd w:val="clear" w:fill="FFFFFF"/>
        </w:rPr>
        <w:t>抄送</w:t>
      </w:r>
      <w:r>
        <w:rPr>
          <w:rFonts w:ascii="微软雅黑" w:hAnsi="微软雅黑" w:eastAsia="微软雅黑" w:cs="微软雅黑"/>
          <w:b/>
          <w:bCs/>
          <w:i w:val="0"/>
          <w:iCs w:val="0"/>
          <w:caps w:val="0"/>
          <w:color w:val="000000"/>
          <w:spacing w:val="0"/>
          <w:sz w:val="32"/>
          <w:szCs w:val="32"/>
          <w:shd w:val="clear" w:fill="FFFFFF"/>
        </w:rPr>
        <w:t>gxszw</w:t>
      </w:r>
      <w:r>
        <w:rPr>
          <w:rFonts w:hint="eastAsia" w:ascii="微软雅黑" w:hAnsi="微软雅黑" w:eastAsia="微软雅黑" w:cs="微软雅黑"/>
          <w:b/>
          <w:bCs/>
          <w:i w:val="0"/>
          <w:iCs w:val="0"/>
          <w:caps w:val="0"/>
          <w:color w:val="000000"/>
          <w:spacing w:val="0"/>
          <w:sz w:val="32"/>
          <w:szCs w:val="32"/>
          <w:shd w:val="clear" w:fill="FFFFFF"/>
          <w:lang w:val="en-US" w:eastAsia="zh-CN"/>
        </w:rPr>
        <w:t>hr</w:t>
      </w:r>
      <w:r>
        <w:rPr>
          <w:rFonts w:ascii="微软雅黑" w:hAnsi="微软雅黑" w:eastAsia="微软雅黑" w:cs="微软雅黑"/>
          <w:b/>
          <w:bCs/>
          <w:i w:val="0"/>
          <w:iCs w:val="0"/>
          <w:caps w:val="0"/>
          <w:color w:val="000000"/>
          <w:spacing w:val="0"/>
          <w:sz w:val="32"/>
          <w:szCs w:val="32"/>
          <w:shd w:val="clear" w:fill="FFFFFF"/>
        </w:rPr>
        <w:t>@163.com</w:t>
      </w:r>
      <w:r>
        <w:rPr>
          <w:rFonts w:hint="eastAsia" w:ascii="微软雅黑" w:hAnsi="微软雅黑" w:eastAsia="微软雅黑" w:cs="微软雅黑"/>
          <w:i w:val="0"/>
          <w:iCs w:val="0"/>
          <w:caps w:val="0"/>
          <w:color w:val="4B4B4B"/>
          <w:spacing w:val="0"/>
          <w:sz w:val="32"/>
          <w:szCs w:val="32"/>
          <w:u w:val="none"/>
          <w:shd w:val="clear" w:fill="FFFFFF"/>
        </w:rPr>
        <w:t xml:space="preserve"> 电子邮件命名格式：</w:t>
      </w:r>
      <w:r>
        <w:rPr>
          <w:rFonts w:hint="eastAsia" w:ascii="微软雅黑" w:hAnsi="微软雅黑" w:eastAsia="微软雅黑" w:cs="微软雅黑"/>
          <w:b/>
          <w:bCs/>
          <w:i w:val="0"/>
          <w:iCs w:val="0"/>
          <w:caps w:val="0"/>
          <w:color w:val="4B4B4B"/>
          <w:spacing w:val="0"/>
          <w:sz w:val="32"/>
          <w:szCs w:val="32"/>
          <w:u w:val="none"/>
          <w:shd w:val="clear" w:fill="FFFFFF"/>
        </w:rPr>
        <w:t>高校师资网+毕业学校+学历+应聘岗位+姓名</w:t>
      </w:r>
      <w:r>
        <w:rPr>
          <w:rFonts w:hint="eastAsia" w:ascii="微软雅黑" w:hAnsi="微软雅黑" w:eastAsia="微软雅黑" w:cs="微软雅黑"/>
          <w:b/>
          <w:bCs/>
          <w:i w:val="0"/>
          <w:iCs w:val="0"/>
          <w:caps w:val="0"/>
          <w:color w:val="4B4B4B"/>
          <w:spacing w:val="0"/>
          <w:sz w:val="32"/>
          <w:szCs w:val="32"/>
          <w:u w:val="none"/>
          <w:shd w:val="clear" w:fill="FFFFFF"/>
          <w:lang w:val="en-US" w:eastAsia="zh-CN"/>
        </w:rPr>
        <w:t xml:space="preserve"> </w:t>
      </w:r>
      <w:r>
        <w:rPr>
          <w:rFonts w:hint="eastAsia" w:ascii="Verdana" w:hAnsi="Verdana" w:eastAsia="宋体" w:cs="Verdana"/>
          <w:i w:val="0"/>
          <w:iCs w:val="0"/>
          <w:caps w:val="0"/>
          <w:color w:val="333333"/>
          <w:spacing w:val="0"/>
          <w:sz w:val="32"/>
          <w:szCs w:val="32"/>
        </w:rPr>
        <w:t>QQ</w:t>
      </w:r>
      <w:r>
        <w:rPr>
          <w:rFonts w:hint="eastAsia" w:ascii="Verdana" w:hAnsi="Verdana" w:eastAsia="宋体" w:cs="Verdana"/>
          <w:b/>
          <w:bCs/>
          <w:i w:val="0"/>
          <w:iCs w:val="0"/>
          <w:caps w:val="0"/>
          <w:color w:val="333333"/>
          <w:spacing w:val="0"/>
          <w:sz w:val="32"/>
          <w:szCs w:val="32"/>
        </w:rPr>
        <w:t>博士</w:t>
      </w:r>
      <w:r>
        <w:rPr>
          <w:rFonts w:hint="eastAsia" w:ascii="Verdana" w:hAnsi="Verdana" w:eastAsia="宋体" w:cs="Verdana"/>
          <w:i w:val="0"/>
          <w:iCs w:val="0"/>
          <w:caps w:val="0"/>
          <w:color w:val="333333"/>
          <w:spacing w:val="0"/>
          <w:sz w:val="32"/>
          <w:szCs w:val="32"/>
        </w:rPr>
        <w:t>交流群：</w:t>
      </w:r>
      <w:r>
        <w:rPr>
          <w:rStyle w:val="11"/>
          <w:rFonts w:ascii="微软雅黑" w:hAnsi="微软雅黑" w:eastAsia="微软雅黑" w:cs="微软雅黑"/>
          <w:i w:val="0"/>
          <w:iCs w:val="0"/>
          <w:caps w:val="0"/>
          <w:color w:val="FF0000"/>
          <w:spacing w:val="0"/>
          <w:sz w:val="32"/>
          <w:szCs w:val="32"/>
          <w:shd w:val="clear" w:fill="F3F3EB"/>
        </w:rPr>
        <w:t>602259731</w:t>
      </w:r>
      <w:r>
        <w:rPr>
          <w:rFonts w:hint="default" w:ascii="Verdana" w:hAnsi="Verdana" w:eastAsia="宋体" w:cs="Verdana"/>
          <w:i w:val="0"/>
          <w:iCs w:val="0"/>
          <w:caps w:val="0"/>
          <w:color w:val="333333"/>
          <w:spacing w:val="0"/>
          <w:sz w:val="32"/>
          <w:szCs w:val="32"/>
        </w:rPr>
        <w:t>，</w:t>
      </w:r>
      <w:r>
        <w:rPr>
          <w:rFonts w:hint="eastAsia" w:ascii="Verdana" w:hAnsi="Verdana" w:eastAsia="宋体" w:cs="Verdana"/>
          <w:b/>
          <w:bCs/>
          <w:i w:val="0"/>
          <w:iCs w:val="0"/>
          <w:caps w:val="0"/>
          <w:color w:val="333333"/>
          <w:spacing w:val="0"/>
          <w:sz w:val="32"/>
          <w:szCs w:val="32"/>
          <w:lang w:val="en-US" w:eastAsia="zh-CN"/>
        </w:rPr>
        <w:t>硕士</w:t>
      </w:r>
      <w:r>
        <w:rPr>
          <w:rFonts w:hint="default" w:ascii="Verdana" w:hAnsi="Verdana" w:eastAsia="宋体" w:cs="Verdana"/>
          <w:i w:val="0"/>
          <w:iCs w:val="0"/>
          <w:caps w:val="0"/>
          <w:color w:val="333333"/>
          <w:spacing w:val="0"/>
          <w:sz w:val="32"/>
          <w:szCs w:val="32"/>
        </w:rPr>
        <w:t>交流群：</w:t>
      </w:r>
      <w:r>
        <w:rPr>
          <w:rStyle w:val="11"/>
          <w:rFonts w:hint="eastAsia" w:ascii="微软雅黑" w:hAnsi="微软雅黑" w:eastAsia="微软雅黑" w:cs="微软雅黑"/>
          <w:i w:val="0"/>
          <w:iCs w:val="0"/>
          <w:caps w:val="0"/>
          <w:color w:val="FF0000"/>
          <w:spacing w:val="0"/>
          <w:sz w:val="32"/>
          <w:szCs w:val="32"/>
          <w:shd w:val="clear" w:fill="F3F3EB"/>
        </w:rPr>
        <w:t>230124942</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left"/>
        <w:rPr>
          <w:rFonts w:hint="eastAsia" w:ascii="微软雅黑" w:hAnsi="微软雅黑" w:eastAsia="微软雅黑" w:cs="微软雅黑"/>
          <w:i w:val="0"/>
          <w:iCs w:val="0"/>
          <w:caps w:val="0"/>
          <w:color w:val="4B4B4B"/>
          <w:spacing w:val="0"/>
          <w:sz w:val="32"/>
          <w:szCs w:val="32"/>
          <w:u w:val="none"/>
          <w:shd w:val="clear" w:fill="FFFFFF"/>
        </w:rPr>
      </w:pPr>
      <w:r>
        <w:rPr>
          <w:rFonts w:ascii="宋体" w:hAnsi="宋体" w:eastAsia="宋体" w:cs="宋体"/>
          <w:color w:val="FF0000"/>
          <w:sz w:val="32"/>
          <w:szCs w:val="32"/>
        </w:rPr>
        <w:t>更多校园招聘信息</w:t>
      </w:r>
      <w:r>
        <w:rPr>
          <w:rFonts w:hint="eastAsia" w:ascii="宋体" w:hAnsi="宋体" w:eastAsia="宋体" w:cs="宋体"/>
          <w:color w:val="FF0000"/>
          <w:sz w:val="32"/>
          <w:szCs w:val="32"/>
          <w:lang w:val="en-US" w:eastAsia="zh-CN"/>
        </w:rPr>
        <w:t>请同学添</w:t>
      </w:r>
      <w:r>
        <w:rPr>
          <w:rFonts w:ascii="宋体" w:hAnsi="宋体" w:eastAsia="宋体" w:cs="宋体"/>
          <w:color w:val="FF0000"/>
          <w:sz w:val="32"/>
          <w:szCs w:val="32"/>
        </w:rPr>
        <w:t>加客服</w:t>
      </w:r>
      <w:r>
        <w:rPr>
          <w:rFonts w:hint="eastAsia" w:ascii="宋体" w:hAnsi="宋体" w:eastAsia="宋体" w:cs="宋体"/>
          <w:b/>
          <w:bCs/>
          <w:color w:val="FF0000"/>
          <w:sz w:val="32"/>
          <w:szCs w:val="32"/>
          <w:lang w:val="en-US" w:eastAsia="zh-CN"/>
        </w:rPr>
        <w:t>李</w:t>
      </w:r>
      <w:r>
        <w:rPr>
          <w:rFonts w:hint="eastAsia" w:ascii="宋体" w:hAnsi="宋体" w:eastAsia="宋体" w:cs="宋体"/>
          <w:b/>
          <w:bCs/>
          <w:color w:val="FF0000"/>
          <w:sz w:val="32"/>
          <w:szCs w:val="32"/>
        </w:rPr>
        <w:t>老师微信号码</w:t>
      </w:r>
      <w:r>
        <w:rPr>
          <w:rFonts w:hint="eastAsia" w:ascii="宋体" w:hAnsi="宋体" w:eastAsia="宋体" w:cs="宋体"/>
          <w:color w:val="FF0000"/>
          <w:sz w:val="32"/>
          <w:szCs w:val="32"/>
        </w:rPr>
        <w:t>：</w:t>
      </w:r>
      <w:r>
        <w:rPr>
          <w:rFonts w:hint="eastAsia" w:ascii="宋体" w:hAnsi="宋体" w:eastAsia="宋体" w:cs="宋体"/>
          <w:b/>
          <w:bCs/>
          <w:color w:val="FF0000"/>
          <w:sz w:val="32"/>
          <w:szCs w:val="32"/>
          <w:lang w:val="en-US" w:eastAsia="zh-CN"/>
        </w:rPr>
        <w:t>13718504267</w:t>
      </w:r>
      <w:r>
        <w:rPr>
          <w:rFonts w:hint="eastAsia" w:ascii="宋体" w:hAnsi="宋体" w:eastAsia="宋体" w:cs="宋体"/>
          <w:color w:val="FF0000"/>
          <w:sz w:val="32"/>
          <w:szCs w:val="32"/>
          <w:lang w:val="en-US" w:eastAsia="zh-CN"/>
        </w:rPr>
        <w:t xml:space="preserve"> 咨询。</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center"/>
        <w:rPr>
          <w:rFonts w:hint="eastAsia" w:ascii="宋体" w:hAnsi="宋体" w:eastAsia="宋体" w:cs="宋体"/>
          <w:color w:val="FF0000"/>
          <w:sz w:val="24"/>
          <w:szCs w:val="24"/>
          <w:lang w:val="en-US" w:eastAsia="zh-CN"/>
        </w:rPr>
      </w:pPr>
      <w:r>
        <w:rPr>
          <w:rFonts w:hint="eastAsia" w:ascii="微软雅黑" w:hAnsi="微软雅黑" w:eastAsia="微软雅黑" w:cs="微软雅黑"/>
          <w:i w:val="0"/>
          <w:iCs w:val="0"/>
          <w:caps w:val="0"/>
          <w:color w:val="000000"/>
          <w:spacing w:val="0"/>
          <w:sz w:val="16"/>
          <w:szCs w:val="16"/>
          <w:bdr w:val="single" w:color="808080" w:sz="4" w:space="0"/>
        </w:rPr>
        <w:drawing>
          <wp:inline distT="0" distB="0" distL="114300" distR="114300">
            <wp:extent cx="8818245" cy="3978910"/>
            <wp:effectExtent l="0" t="0" r="1905" b="2540"/>
            <wp:docPr id="2" name="图片 3" descr="C:\Users\xuanchan5\Desktop\1-211105094954260.jpg1-211105094954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C:\Users\xuanchan5\Desktop\1-211105094954260.jpg1-211105094954260"/>
                    <pic:cNvPicPr>
                      <a:picLocks noChangeAspect="1"/>
                    </pic:cNvPicPr>
                  </pic:nvPicPr>
                  <pic:blipFill>
                    <a:blip r:embed="rId5"/>
                    <a:srcRect/>
                    <a:stretch>
                      <a:fillRect/>
                    </a:stretch>
                  </pic:blipFill>
                  <pic:spPr>
                    <a:xfrm>
                      <a:off x="0" y="0"/>
                      <a:ext cx="8818245" cy="3978910"/>
                    </a:xfrm>
                    <a:prstGeom prst="rect">
                      <a:avLst/>
                    </a:prstGeom>
                    <a:noFill/>
                    <a:ln w="9525">
                      <a:noFill/>
                    </a:ln>
                  </pic:spPr>
                </pic:pic>
              </a:graphicData>
            </a:graphic>
          </wp:inline>
        </w:drawing>
      </w:r>
    </w:p>
    <w:sectPr>
      <w:headerReference r:id="rId3" w:type="default"/>
      <w:pgSz w:w="23811" w:h="16838"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auto"/>
    <w:pitch w:val="default"/>
    <w:sig w:usb0="A00006FF" w:usb1="4000205B" w:usb2="00000010" w:usb3="00000000" w:csb0="2000019F" w:csb1="00000000"/>
  </w:font>
  <w:font w:name="Symbol">
    <w:panose1 w:val="05050102010706020507"/>
    <w:charset w:val="00"/>
    <w:family w:val="auto"/>
    <w:pitch w:val="default"/>
    <w:sig w:usb0="00000000" w:usb1="00000000" w:usb2="00000000" w:usb3="00000000" w:csb0="8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drawing>
        <wp:inline distT="0" distB="0" distL="114300" distR="114300">
          <wp:extent cx="1332230" cy="385445"/>
          <wp:effectExtent l="0" t="0" r="1270" b="1460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
                  <a:stretch>
                    <a:fillRect/>
                  </a:stretch>
                </pic:blipFill>
                <pic:spPr>
                  <a:xfrm>
                    <a:off x="0" y="0"/>
                    <a:ext cx="1332230" cy="38544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U0NmE4MWVkMDkwZmE5ZGE2MmNkYzJkZWFkYWE5N2IifQ=="/>
  </w:docVars>
  <w:rsids>
    <w:rsidRoot w:val="00000000"/>
    <w:rsid w:val="026F1DDB"/>
    <w:rsid w:val="05362633"/>
    <w:rsid w:val="06121624"/>
    <w:rsid w:val="066C24D4"/>
    <w:rsid w:val="0A0B734B"/>
    <w:rsid w:val="0B0F0558"/>
    <w:rsid w:val="0C462869"/>
    <w:rsid w:val="0C664807"/>
    <w:rsid w:val="0CC06E77"/>
    <w:rsid w:val="0D0965EF"/>
    <w:rsid w:val="0E012E11"/>
    <w:rsid w:val="0EEA674E"/>
    <w:rsid w:val="13357FD2"/>
    <w:rsid w:val="136C6A19"/>
    <w:rsid w:val="142E65AA"/>
    <w:rsid w:val="14674D1C"/>
    <w:rsid w:val="14B4453A"/>
    <w:rsid w:val="16575B52"/>
    <w:rsid w:val="17651D9A"/>
    <w:rsid w:val="17C85A7B"/>
    <w:rsid w:val="17E102E4"/>
    <w:rsid w:val="19022303"/>
    <w:rsid w:val="197856F4"/>
    <w:rsid w:val="1A373139"/>
    <w:rsid w:val="1C59048D"/>
    <w:rsid w:val="1D7A0CFC"/>
    <w:rsid w:val="240E54C6"/>
    <w:rsid w:val="24901CF7"/>
    <w:rsid w:val="2708689D"/>
    <w:rsid w:val="284852C7"/>
    <w:rsid w:val="28A3523A"/>
    <w:rsid w:val="28B450FC"/>
    <w:rsid w:val="28E50FE4"/>
    <w:rsid w:val="28F940AD"/>
    <w:rsid w:val="29784473"/>
    <w:rsid w:val="29A5786C"/>
    <w:rsid w:val="2AD21EA8"/>
    <w:rsid w:val="2D555DD2"/>
    <w:rsid w:val="312D4CDC"/>
    <w:rsid w:val="317E1E34"/>
    <w:rsid w:val="32A77C15"/>
    <w:rsid w:val="36E84922"/>
    <w:rsid w:val="387E5266"/>
    <w:rsid w:val="38974369"/>
    <w:rsid w:val="39673E7A"/>
    <w:rsid w:val="3A846D97"/>
    <w:rsid w:val="3AB918A1"/>
    <w:rsid w:val="3BB37D4C"/>
    <w:rsid w:val="3C7F11ED"/>
    <w:rsid w:val="3CEA7B05"/>
    <w:rsid w:val="3D0139F2"/>
    <w:rsid w:val="3D3842E3"/>
    <w:rsid w:val="3DDC43DC"/>
    <w:rsid w:val="3E363915"/>
    <w:rsid w:val="3E92015B"/>
    <w:rsid w:val="3EAA1942"/>
    <w:rsid w:val="3F7C6224"/>
    <w:rsid w:val="3FC157E6"/>
    <w:rsid w:val="401C7DAB"/>
    <w:rsid w:val="41374938"/>
    <w:rsid w:val="41722A03"/>
    <w:rsid w:val="418319D4"/>
    <w:rsid w:val="4211314D"/>
    <w:rsid w:val="42150FB8"/>
    <w:rsid w:val="43CC1B54"/>
    <w:rsid w:val="43EC365C"/>
    <w:rsid w:val="45715F26"/>
    <w:rsid w:val="46205718"/>
    <w:rsid w:val="49B45ACC"/>
    <w:rsid w:val="4A2C7866"/>
    <w:rsid w:val="4A3036A9"/>
    <w:rsid w:val="4AE47987"/>
    <w:rsid w:val="4AF01416"/>
    <w:rsid w:val="4C79125D"/>
    <w:rsid w:val="4CA321D6"/>
    <w:rsid w:val="4F551D79"/>
    <w:rsid w:val="52C1090F"/>
    <w:rsid w:val="530B538C"/>
    <w:rsid w:val="5324487A"/>
    <w:rsid w:val="54875206"/>
    <w:rsid w:val="56061EFD"/>
    <w:rsid w:val="56B21980"/>
    <w:rsid w:val="57A50FB7"/>
    <w:rsid w:val="57F81DBC"/>
    <w:rsid w:val="58762146"/>
    <w:rsid w:val="58B52EC7"/>
    <w:rsid w:val="5A900BEA"/>
    <w:rsid w:val="5AE16AFA"/>
    <w:rsid w:val="5BCF6CF7"/>
    <w:rsid w:val="5CA83573"/>
    <w:rsid w:val="5D7D254B"/>
    <w:rsid w:val="5D9D46E7"/>
    <w:rsid w:val="5E3E4766"/>
    <w:rsid w:val="5F0B300C"/>
    <w:rsid w:val="5F231959"/>
    <w:rsid w:val="60CE4002"/>
    <w:rsid w:val="61145AFA"/>
    <w:rsid w:val="611D2983"/>
    <w:rsid w:val="6155612F"/>
    <w:rsid w:val="621C0FB1"/>
    <w:rsid w:val="625B1B8B"/>
    <w:rsid w:val="628960F2"/>
    <w:rsid w:val="63353CFD"/>
    <w:rsid w:val="63884061"/>
    <w:rsid w:val="63B5655B"/>
    <w:rsid w:val="64F85E07"/>
    <w:rsid w:val="659F265C"/>
    <w:rsid w:val="65E41B50"/>
    <w:rsid w:val="662629B3"/>
    <w:rsid w:val="6628055F"/>
    <w:rsid w:val="66DF0D95"/>
    <w:rsid w:val="6C1C13EA"/>
    <w:rsid w:val="6E796040"/>
    <w:rsid w:val="6F9E0371"/>
    <w:rsid w:val="70442827"/>
    <w:rsid w:val="719C53F7"/>
    <w:rsid w:val="71C44F5A"/>
    <w:rsid w:val="71EA2F0F"/>
    <w:rsid w:val="71F87EEC"/>
    <w:rsid w:val="720F4553"/>
    <w:rsid w:val="72F217A0"/>
    <w:rsid w:val="73AF2CDC"/>
    <w:rsid w:val="74AA7333"/>
    <w:rsid w:val="751A0D6F"/>
    <w:rsid w:val="7532297B"/>
    <w:rsid w:val="75A67861"/>
    <w:rsid w:val="77AF4057"/>
    <w:rsid w:val="79F62A1A"/>
    <w:rsid w:val="7A3139E1"/>
    <w:rsid w:val="7A6C77FB"/>
    <w:rsid w:val="7A772BA1"/>
    <w:rsid w:val="7AA12051"/>
    <w:rsid w:val="7C85396A"/>
    <w:rsid w:val="7C9943B8"/>
    <w:rsid w:val="7CC83BB2"/>
    <w:rsid w:val="7ED22B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rPr>
  </w:style>
  <w:style w:type="character" w:styleId="12">
    <w:name w:val="FollowedHyperlink"/>
    <w:basedOn w:val="10"/>
    <w:qFormat/>
    <w:uiPriority w:val="0"/>
    <w:rPr>
      <w:color w:val="4B4B4B"/>
      <w:u w:val="none"/>
    </w:rPr>
  </w:style>
  <w:style w:type="character" w:styleId="13">
    <w:name w:val="Emphasis"/>
    <w:basedOn w:val="10"/>
    <w:qFormat/>
    <w:uiPriority w:val="0"/>
    <w:rPr>
      <w:i/>
    </w:rPr>
  </w:style>
  <w:style w:type="character" w:styleId="14">
    <w:name w:val="Hyperlink"/>
    <w:basedOn w:val="10"/>
    <w:qFormat/>
    <w:uiPriority w:val="0"/>
    <w:rPr>
      <w:color w:val="0000FF"/>
      <w:u w:val="single"/>
    </w:rPr>
  </w:style>
  <w:style w:type="character" w:customStyle="1" w:styleId="15">
    <w:name w:val="bsharetext"/>
    <w:basedOn w:val="10"/>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77</Words>
  <Characters>118</Characters>
  <Lines>0</Lines>
  <Paragraphs>0</Paragraphs>
  <TotalTime>1</TotalTime>
  <ScaleCrop>false</ScaleCrop>
  <LinksUpToDate>false</LinksUpToDate>
  <CharactersWithSpaces>121</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你该如何回忆我</cp:lastModifiedBy>
  <dcterms:modified xsi:type="dcterms:W3CDTF">2023-03-06T05:27:33Z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468A9DA0C1994F43A76EB771EE12B21B</vt:lpwstr>
  </property>
</Properties>
</file>