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 w:firstLine="0"/>
        <w:jc w:val="center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</w:rPr>
        <w:t>西南医科大学2022年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8"/>
          <w:szCs w:val="38"/>
          <w:lang w:val="en-US" w:eastAsia="zh-CN"/>
        </w:rPr>
        <w:t>最新招聘公告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西南医科大学是四川省省属普通高等院校，坐落在川滇黔渝结合部的泸州。泸州，是“国家历史文化名城”“全国双拥模范城”“国家卫生城市”“中国优秀旅游城市”“国家森林城市”“国家园林城市”“全国文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明城市”。泸州，是一座大美之城，主城区被长江、沱江两江环抱，“江在城中，江城互融”。泸州，是一座闻名于世的酒城，风过泸州带酒香，是浓香型白酒发源地，拥有泸州老窖和郎酒两朵“中国名酒之花”。泸州，是一座红色之城，有着光荣的红色历程，朱德“护国讨袁”在泸州战斗生活5年，刘伯承指挥的泸顺起义是中国共产党武装起义的先声，红军“四渡赤水”三渡在泸，书写了毛泽东军事生涯的得意之笔。泸州，是一座通达之城，建成高速公路5条，通车里程居四川第3位;绵泸高铁于2021年7月通车，泸州可直达成都、西安、郑州、上海、广州等地;已全面动工的渝昆高铁与规划中的蓉遵高铁在泸州交差而过;泸州云龙机场是四川第三大航空港，全国民航中型机场，当前通航点已达50个，涵盖国内全部一线城市、重要的省会城市和旅游城市。泸州，是一座宜居之城，全市森林覆盖率50.8%，城市建成区绿地率40%，中心城区建成开放公园43个，形成了“300米见绿、500米见园”的城市生态格局。教育医疗资源优质，有西南医科大学等7所普通高等院校，有“三甲”医疗机构6家，医疗卫生资源和条件居四川省第2位，正在建设区域医药健康中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西南医科大学现有忠山、城北两个校区，占地2011亩。学校下设20个院(系)，有在校本科生、研究生、留学生等约两万人。图书馆馆藏资源丰富，有纸质文献164.3 万册，电子文献246余万册，订有中外文纸质期刊1028种，能充分满足师生阅读、学习需求。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学校学科门类较为齐全，学科特色突出。临床医学、药学是四川省一流建设学科。临床医学、药理学与毒理学进入ESI全球排名前1%，其中临床医学在ESI全球排名前1%机构中位列45.21%。现有博士学位授权学科1个，硕士学位授权一级学科7个、硕士学位授权二级学科2个、硕士专业学位授权点9个，涵盖医学、理学、管理学、法学、教育学5个学科门类。有普通本科专业32个，涵盖7个学科门类;有国家级、省级一流本科专业建设点12个、国家级特色专业3个、省级特色专业3个、省级应用型示范专业5个，大力推进“医工、医理、医文”结合，构建了覆盖“生命全周期，健康全过程”的医学专业教育体系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学校拥有教育部重点实验室、四川省重点实验室等省部级以上科研平台33个和35个省、厅级科研团队，是“四川2011心血管疾病防治协同创新中心”牵头单位。2017-2021年，学校获批各级各类科研项目4427项，其中省部级及以上科研项目493项; 获省部级以上科技成果奖45项，其中国家科技进步奖二等奖1项。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学校先后与25个国家和地区建立了对外合作交流关系，并多次成功举办国际学术会议，建成了中国-葡语系国家和地区中医药国际合作基地。先后为巴基斯坦、印度、孟加拉国等“一带一路”沿线国家培养博士后、研究生和本科生500余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学校现有5所直属附属医院，在突发公共事件、应急抢险中，展现出极强的应急救援能力和高救治成功率。作为西南四省(市)结合区域的省级医疗中心，为川渝滇黔结合区域人民健康保驾护航，为国家和区域医药卫生人才培养和医疗服务作出了重要的贡献。(具体信息可查阅我校官网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现面向海内外诚聘各类博士英才(年龄一般不超过35周岁)，具体如下：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240" w:beforeAutospacing="0" w:after="240" w:afterAutospacing="0" w:line="420" w:lineRule="atLeast"/>
        <w:ind w:left="0" w:right="0" w:firstLine="315"/>
        <w:rPr>
          <w:color w:val="FFFFFF"/>
          <w:sz w:val="24"/>
          <w:szCs w:val="24"/>
        </w:rPr>
      </w:pPr>
      <w:r>
        <w:rPr>
          <w:i w:val="0"/>
          <w:iCs w:val="0"/>
          <w:caps w:val="0"/>
          <w:color w:val="FFFFFF"/>
          <w:spacing w:val="0"/>
          <w:sz w:val="24"/>
          <w:szCs w:val="24"/>
          <w:shd w:val="clear" w:fill="9F1B29"/>
        </w:rPr>
        <w:t>一、需求专业</w:t>
      </w:r>
    </w:p>
    <w:tbl>
      <w:tblPr>
        <w:tblStyle w:val="9"/>
        <w:tblW w:w="14150" w:type="dxa"/>
        <w:tblInd w:w="15" w:type="dxa"/>
        <w:tblBorders>
          <w:top w:val="single" w:color="CCCCCC" w:sz="4" w:space="0"/>
          <w:left w:val="single" w:color="CCCCCC" w:sz="4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39"/>
        <w:gridCol w:w="2371"/>
        <w:gridCol w:w="5383"/>
        <w:gridCol w:w="1457"/>
      </w:tblGrid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二级单位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招聘岗位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noWrap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所需专业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引进人数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临床医学院·附属医院（含康复医学系、儿科学系、医学影像系、麻醉学系、医学检验系）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教师/医师/专职科研人员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临床医学（肝胆外科骨科、神经外科、胸心外科、消化内科、血液内科、风湿免疫、心血管内科、影像医学与核医学等）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中西医结合学院·附属中医医院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教师/医师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中医学、中西医结合、临床医学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口腔医学院·附属口腔医院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教师/医师/专职科研人员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口腔医学、口腔临床医学、干细胞与再生医学、分子生物学、生物材料学、肿瘤学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基础医学院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临床医学、基础医学（人体解剖学、组织胚胎学、病理生理学免疫学等）、生理学、生物化学与分子生物学、生物技术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药学院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药学（药理学、药物化学、药剂学、药物分析等）、中药学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公共卫生学院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公共卫生与预防医学（流行病与卫生统计学、环境卫生、职业卫生、毒理学、营养与食品卫生学等）、公共卫生、公共管理（社会医学和卫生事业管理、健康行为学）</w:t>
            </w:r>
          </w:p>
        </w:tc>
        <w:tc>
          <w:tcPr>
            <w:tcW w:w="7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心血管医学研究所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科研人员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基础医学、生物学、药学、统计学、生物医学工程、计算机</w:t>
            </w:r>
          </w:p>
        </w:tc>
        <w:tc>
          <w:tcPr>
            <w:tcW w:w="708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药物与功能性食品研究中心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科研人员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纳米医学、细胞分子生物学、心血管药理学</w:t>
            </w:r>
          </w:p>
        </w:tc>
        <w:tc>
          <w:tcPr>
            <w:tcW w:w="70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noWrap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医学基础研究中心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科研人员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生物信息学，生物化学与分子生物学，遗传学，药理学</w:t>
            </w:r>
          </w:p>
        </w:tc>
        <w:tc>
          <w:tcPr>
            <w:tcW w:w="70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c>
          <w:tcPr>
            <w:tcW w:w="240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护理学院、医学信息与工程学院、马克思主义学院、法学院、外国语学院、体育学院等其它院系</w:t>
            </w:r>
          </w:p>
        </w:tc>
        <w:tc>
          <w:tcPr>
            <w:tcW w:w="11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</w:t>
            </w:r>
          </w:p>
        </w:tc>
        <w:tc>
          <w:tcPr>
            <w:tcW w:w="261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与该院系匹配的有关专业</w:t>
            </w:r>
          </w:p>
        </w:tc>
        <w:tc>
          <w:tcPr>
            <w:tcW w:w="70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240" w:beforeAutospacing="0" w:after="240" w:afterAutospacing="0" w:line="420" w:lineRule="atLeast"/>
        <w:ind w:left="0" w:right="0" w:firstLine="315"/>
        <w:rPr>
          <w:color w:val="FFFFFF"/>
          <w:sz w:val="24"/>
          <w:szCs w:val="24"/>
        </w:rPr>
      </w:pPr>
      <w:r>
        <w:rPr>
          <w:i w:val="0"/>
          <w:iCs w:val="0"/>
          <w:caps w:val="0"/>
          <w:color w:val="FFFFFF"/>
          <w:spacing w:val="0"/>
          <w:sz w:val="24"/>
          <w:szCs w:val="24"/>
          <w:shd w:val="clear" w:fill="9F1B29"/>
        </w:rPr>
        <w:t>二、引进待遇(人民币，下同)</w:t>
      </w:r>
    </w:p>
    <w:tbl>
      <w:tblPr>
        <w:tblStyle w:val="9"/>
        <w:tblW w:w="14150" w:type="dxa"/>
        <w:tblInd w:w="15" w:type="dxa"/>
        <w:tblBorders>
          <w:top w:val="single" w:color="CCCCCC" w:sz="4" w:space="0"/>
          <w:left w:val="single" w:color="CCCCCC" w:sz="4" w:space="0"/>
          <w:bottom w:val="outset" w:color="auto" w:sz="0" w:space="0"/>
          <w:right w:val="outset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7"/>
        <w:gridCol w:w="4754"/>
        <w:gridCol w:w="1762"/>
        <w:gridCol w:w="3964"/>
        <w:gridCol w:w="2303"/>
      </w:tblGrid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引进类别</w:t>
            </w:r>
          </w:p>
        </w:tc>
        <w:tc>
          <w:tcPr>
            <w:tcW w:w="633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安家费</w:t>
            </w:r>
          </w:p>
        </w:tc>
        <w:tc>
          <w:tcPr>
            <w:tcW w:w="2208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租房补贴</w:t>
            </w:r>
          </w:p>
        </w:tc>
        <w:tc>
          <w:tcPr>
            <w:tcW w:w="52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薪酬及待遇</w:t>
            </w:r>
          </w:p>
        </w:tc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F4F9FF"/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科研启动经费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A类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博士</w:t>
            </w:r>
          </w:p>
        </w:tc>
        <w:tc>
          <w:tcPr>
            <w:tcW w:w="633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36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税前25-30万元(自然学科）；税前20-25万元（人文学科）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另有泸州市政府提供的安家费补助及岗位激励约10万元。学校发放部分按12个月平均发放）</w:t>
            </w:r>
          </w:p>
        </w:tc>
        <w:tc>
          <w:tcPr>
            <w:tcW w:w="2208" w:type="dxa"/>
            <w:vMerge w:val="restart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提供房租补贴1500元/月，最长24个月。</w:t>
            </w:r>
          </w:p>
        </w:tc>
        <w:tc>
          <w:tcPr>
            <w:tcW w:w="52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36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基本工资标准按国家政策兑现中级职称待遇（专十级），校内绩效享受校聘副教授待遇3年，3年后按实际职称兑现待遇</w:t>
            </w:r>
          </w:p>
        </w:tc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人文学科类：10-15万元；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自然学科类：15-20万元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outset" w:color="auto" w:sz="0" w:space="0"/>
            <w:right w:val="outset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752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B类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博士</w:t>
            </w:r>
          </w:p>
        </w:tc>
        <w:tc>
          <w:tcPr>
            <w:tcW w:w="6336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36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税前15-20万元（自然学科）；税前10-15（人文学科）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另有泸州市政府提供的安家费补助及岗位激励约10万元。学校发放部分按12个月平均发放）</w:t>
            </w:r>
          </w:p>
        </w:tc>
        <w:tc>
          <w:tcPr>
            <w:tcW w:w="2208" w:type="dxa"/>
            <w:vMerge w:val="continue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top"/>
          </w:tcPr>
          <w:p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36" w:lineRule="atLeast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工资标准及校内绩效执行中级职称待遇（专十级）</w:t>
            </w:r>
          </w:p>
        </w:tc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single" w:color="CCCCCC" w:sz="4" w:space="0"/>
              <w:right w:val="single" w:color="CCCCCC" w:sz="4" w:space="0"/>
            </w:tcBorders>
            <w:shd w:val="clear" w:color="auto" w:fill="auto"/>
            <w:tcMar>
              <w:top w:w="0" w:type="dxa"/>
              <w:left w:w="96" w:type="dxa"/>
              <w:bottom w:w="0" w:type="dxa"/>
              <w:right w:w="96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人文学科类：5-10万元；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6" w:lineRule="atLeast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自然学科类：10-15万元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特别优秀的人才不受上述限制，采用一事一议，具体面议。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注：A类博士业绩要求(近三年)：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1.自然学科类，满足以下条件之一：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(1)以第一作者或通讯作者发表SCI文章1篇且IF≥8分;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(2)以第一作者或通讯作者发表JCR一区文章至少1篇;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(3)以第一作者或通讯作者发表SCI文章，总IF≥15分;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(4)作为有效排名人身份参与国家重大项目至少1项(须提交盖鲜章的申报书原件或本人签字复印件);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(5)获得国家发明专利2项。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2.人文社科类，满足以下条件之一：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(1)以第一作者或通讯作者发表CSSCI(不含扩展版)、SSCI、A﹠HCI 来源论文≥2 篇;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(2)主持国家社科基金至少1项;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(3)作为有效排名人身份参与国家重大项目至少1项(须提交盖鲜章的申报书原件或本人签字复印件);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(4)出版与本专业(学科)相关的专著至少1本。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240" w:beforeAutospacing="0" w:after="240" w:afterAutospacing="0" w:line="420" w:lineRule="atLeast"/>
        <w:ind w:left="0" w:right="0" w:firstLine="315"/>
        <w:rPr>
          <w:color w:val="FFFFFF"/>
          <w:sz w:val="24"/>
          <w:szCs w:val="24"/>
        </w:rPr>
      </w:pPr>
      <w:r>
        <w:rPr>
          <w:i w:val="0"/>
          <w:iCs w:val="0"/>
          <w:caps w:val="0"/>
          <w:color w:val="FFFFFF"/>
          <w:spacing w:val="0"/>
          <w:sz w:val="24"/>
          <w:szCs w:val="24"/>
          <w:shd w:val="clear" w:fill="9F1B29"/>
        </w:rPr>
        <w:t>三、通迅地址及联系方式：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地址：四川省泸州市龙马潭区香林路1段1号德诚楼7楼西南医科大学人事处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电话：0830-3160509　联系人：文老师/王老师/杨老师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电子邮箱:hr@swmu.edu.cn　　邮　编：646000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1405255" cy="1677035"/>
            <wp:effectExtent l="0" t="0" r="12065" b="14605"/>
            <wp:docPr id="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6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5255" cy="1677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   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1428115" cy="1704975"/>
            <wp:effectExtent l="0" t="0" r="4445" b="1905"/>
            <wp:docPr id="8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9F1B29"/>
        <w:spacing w:before="240" w:beforeAutospacing="0" w:after="240" w:afterAutospacing="0" w:line="420" w:lineRule="atLeast"/>
        <w:ind w:left="0" w:right="0" w:firstLine="315"/>
        <w:rPr>
          <w:color w:val="FFFFFF"/>
          <w:sz w:val="24"/>
          <w:szCs w:val="24"/>
        </w:rPr>
      </w:pPr>
      <w:r>
        <w:rPr>
          <w:i w:val="0"/>
          <w:iCs w:val="0"/>
          <w:caps w:val="0"/>
          <w:color w:val="FFFFFF"/>
          <w:spacing w:val="0"/>
          <w:sz w:val="24"/>
          <w:szCs w:val="24"/>
          <w:shd w:val="clear" w:fill="9F1B29"/>
        </w:rPr>
        <w:t>四、来校考察路线：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1、航班直飞泸州。到达云龙机场后，乘坐95路公交车到泸州客运中心站下车，步行20分钟或搭乘出租车起步价即到西南医科大学城北校区。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2.高铁直达泸州。出站后搭乘出租车起步价即到西南医科大学城北校区。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3.其它到达方式。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(1)可以飞抵附近的宜宾机场。宜宾机场距离泸州约90分钟。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(2)可以飞抵重庆机场，然后在T2、T3航站楼乘至泸州的机场大巴专线，全天候滚动发车，购票及上车地点位于航站楼内，较方便;也可拼车到泸州，泸渝快的订票电话18980257979，票价约150元/人，需在航班起飞前预定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(3)可以飞抵成都，然后可选择坐客车直达泸州，也可在成都东站坐高铁到泸州站。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4、乘高铁到成都，转车到泸州：成都东站—泸州站(约90分钟)。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rPr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  <w:t>来我校考察面试的博士，我校可报销一定的交通费及住宿费(须报销凭证)。具体请与我校工作人员联系。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vip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QQ博士交流群2：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474552006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Style w:val="11"/>
          <w:rFonts w:hint="default" w:ascii="Verdana" w:hAnsi="Verdana" w:eastAsia="宋体" w:cs="Verdana"/>
          <w:i w:val="0"/>
          <w:iCs w:val="0"/>
          <w:caps w:val="0"/>
          <w:color w:val="FF0000"/>
          <w:spacing w:val="0"/>
          <w:sz w:val="24"/>
          <w:szCs w:val="24"/>
        </w:rPr>
        <w:t>904560179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惠惠儿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老师微信号码：y15210763946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5687695" cy="2562225"/>
            <wp:effectExtent l="0" t="0" r="12065" b="13335"/>
            <wp:docPr id="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30120"/>
    <w:rsid w:val="041F2B7A"/>
    <w:rsid w:val="06C071D7"/>
    <w:rsid w:val="0CC06E77"/>
    <w:rsid w:val="0D2C433B"/>
    <w:rsid w:val="113F196D"/>
    <w:rsid w:val="11834876"/>
    <w:rsid w:val="11D33129"/>
    <w:rsid w:val="12E3067C"/>
    <w:rsid w:val="14674D1C"/>
    <w:rsid w:val="14B4453A"/>
    <w:rsid w:val="14B873E0"/>
    <w:rsid w:val="169623F8"/>
    <w:rsid w:val="17E102E4"/>
    <w:rsid w:val="197856F4"/>
    <w:rsid w:val="1A373139"/>
    <w:rsid w:val="1C4C44E3"/>
    <w:rsid w:val="1D7A0CFC"/>
    <w:rsid w:val="219E0601"/>
    <w:rsid w:val="227D7F3B"/>
    <w:rsid w:val="24563CEE"/>
    <w:rsid w:val="27565119"/>
    <w:rsid w:val="28A3523A"/>
    <w:rsid w:val="28B450FC"/>
    <w:rsid w:val="28F940AD"/>
    <w:rsid w:val="2E531BE2"/>
    <w:rsid w:val="2E8B7ABF"/>
    <w:rsid w:val="32A77C15"/>
    <w:rsid w:val="33C45B16"/>
    <w:rsid w:val="3A427D7E"/>
    <w:rsid w:val="3AB918A1"/>
    <w:rsid w:val="3BB37D4C"/>
    <w:rsid w:val="3CEA7B05"/>
    <w:rsid w:val="3E92015B"/>
    <w:rsid w:val="3F7C6224"/>
    <w:rsid w:val="41722A03"/>
    <w:rsid w:val="442B4D82"/>
    <w:rsid w:val="4566555F"/>
    <w:rsid w:val="4E223A85"/>
    <w:rsid w:val="4E662F44"/>
    <w:rsid w:val="502C3C0E"/>
    <w:rsid w:val="52C1090F"/>
    <w:rsid w:val="56061EFD"/>
    <w:rsid w:val="562A4055"/>
    <w:rsid w:val="57027242"/>
    <w:rsid w:val="581408C6"/>
    <w:rsid w:val="58762146"/>
    <w:rsid w:val="58EB487B"/>
    <w:rsid w:val="596D4A2C"/>
    <w:rsid w:val="5A900BEA"/>
    <w:rsid w:val="5BCF6CF7"/>
    <w:rsid w:val="659F265C"/>
    <w:rsid w:val="6628055F"/>
    <w:rsid w:val="6C29146A"/>
    <w:rsid w:val="6E796040"/>
    <w:rsid w:val="719453A1"/>
    <w:rsid w:val="720F4553"/>
    <w:rsid w:val="72270149"/>
    <w:rsid w:val="73AF2CDC"/>
    <w:rsid w:val="7532297B"/>
    <w:rsid w:val="75A67861"/>
    <w:rsid w:val="78F03F2B"/>
    <w:rsid w:val="7A772BA1"/>
    <w:rsid w:val="7B2D6662"/>
    <w:rsid w:val="7EAF4E12"/>
    <w:rsid w:val="7F21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office2</cp:lastModifiedBy>
  <dcterms:modified xsi:type="dcterms:W3CDTF">2022-01-04T03:36:32Z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468A9DA0C1994F43A76EB771EE12B21B</vt:lpwstr>
  </property>
</Properties>
</file>