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  <w:t>宜春学院高层次人才引进公告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一、学校简介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宜春学院是一所学科门类齐全、办学历史悠久的全日制公办本科普通高等学校，地处赣西中心城市——江西省宜春市，环境优美，交通便利。现有本部校区、北校区和新校区三个校区，占地2000余亩。全日制在校生19000余人。现有教职工1500余人，其中，专任教师1100余人，具有高级专业技术职称的教师占专任教师比例达42%以上，博士、硕士占专任教师比例80%以上，具有省级以上人才称号70余人次。学校外聘中国科学院院士、中国科技大学博士生导师陈仙辉院士等100多名高级专家为客座教授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的办学声誉稳步提升。2007年，学校以“良好”成绩通过教育部本科教学工作水平评估;2011年10月，经国务院学位委员会批准，学校被批准为“服务国家特殊需求项目——学士学位授予单位开展培养硕士专业学位研究生试点工作单位”;2015年，获批江西省首批转型发展试点高校; 2018年，学校接受教育部本科教学工作审核评估，教育部评估专家组评价宜春学院是“一所区域特色鲜明、优势突出、极具发展潜力的地方应用型大学”。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现有19个教学院，11大学科门类，69个本科专业。有专业学位硕士点1个，省级一流学科1个。有国家级特色专业2个，省级一流特色专业2个，教育部省级一流专业建设点7个，省特色专业8个，国家综合改革试点专业1个，国家“卓越人才教育培养计划”专业2个，教育部“新农科”项目2项、“新工科”项目1项。国家级一流本科课程1门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现有2011协同创新中心1个，省级重点实验室(中心)4个，省发改委工程研究中心1个，省高校重点实验室(中心、基地)6个，省文化厅重点基地1个，省非物质文化遗产研究基地1个，博士后科研工作站1个。获批国家级大学生校外实践基地1个，省级高校实验教学示范中心3个，校外实习实训基地600多个。国家级创业孵化示范基地1个，省级人才培养模式创新实验区2个，校外创新创业实践基地和示范园25个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学校主动对接“一带一路”战略，坚持走国际化办学道路。先后与美国、俄罗斯等近20个国家和地区的高校、科研教育机构开展合作交流办学，为师生共享国(境)外优质教育资源搭建了广阔平台。与印度拉夫里科技大学合作共建国家级“汉语教学中心”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进入新发展阶段，宜春学院坚持以习近平新时代中国特色社会主义思想为指导，全面贯彻落实党的教育方针，坚持立德树人根本任务和社会主义办学方向，秉承“厚德、尚能、博学、笃行”校训，深化产教融合，主动对接国家和区域经济社会发展需求，走创新发展、内涵发展、转型发展、特色发展、高质量发展之路，开放办学，服务地方，着力打造事业发展的“升级版”，为建设“有特色高水平地方应用型大学”而努力奋斗!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二、引进对象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第一类：在学科领域作出杰出贡献、获得国家级教学与科研成果奖励、国内外公认的杰出人才，且近5年获得国家级“重点项目”、“重大项目”、“重大国际(地区)合作研究项目”或“优秀青年科学基金项目”、“杰出青年科学基金项目”资助的项目第一负责人，项目并通过结题验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第二类：在学科领域作出突出贡献、获得省级科研成果一等或教学成果特等奖励、同行专家高度认可的拔尖人才，且近5年获得国家级项目资助、或省部级“重点项目”、“重大项目”资助的项目第一负责人，项目并通过结题验收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第三类：在学科领域作出较大贡献、获得省级科研成果二等或教学成果一等以上奖励、同行专家认可的学科(方向)领军人才，且近5年获得过省部级以上项目资助的项目第一负责人，并在本学科领域权威期刊发表高质量学术论文2篇及以上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第四类：在学科领域具有发展潜力、对本学科专业建设具有创新性构想、具有保持或赶超本领域国内先进水平的能力的优秀博士研究生，且获得省级科研成果三等或教学成果二等以上奖励，或近5年获得过省部级以上项目资助的项目第一负责人，或在本学科领域权威期刊发表高质量学术论文2篇及以上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第五类：其他学科(专业)急需的博士研究生。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三、引才计划</w:t>
      </w:r>
    </w:p>
    <w:tbl>
      <w:tblPr>
        <w:tblStyle w:val="9"/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46"/>
        <w:gridCol w:w="2529"/>
        <w:gridCol w:w="5890"/>
        <w:gridCol w:w="4856"/>
        <w:gridCol w:w="1379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需求岗位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专业方向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条件要求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</w:rPr>
              <w:t>引进人数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文传学院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中国语言文学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中国语言文学下辖二级学科均可。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文传学院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新闻传播学、社会学、文艺学、心理学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文传学院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地理学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政法学院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管理学（行政管理、人力资源管理、工商管理方向）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政法学院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法学（刑法学、民商法学、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国际法学方向）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马克思主义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马克思主义理论、哲学、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政治学、社会学、法学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中共党员，40周岁以内，（1982年1月1日以后出生）。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经管学院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管理学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4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经管学院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经济学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外国语学院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英语语言文学、外国语言学及应用语言学、哲学、教育学、文学、历史学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本科或硕士阶段为英语类专业，业绩优秀者可适当放宽年龄。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音乐舞蹈学院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学前教育学、 音乐与舞蹈学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美术与设计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美术学、设计学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50周岁以内（1972年1月1日以后出生）。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书法学院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美术、艺术学、美术学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本科或硕士为书法学专业。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数计学院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电子科学与技术、信号与通信工程、控制科学与工程、计算机科学与技术、软件工程、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电子信息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数计学院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数学（各专业方向）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建筑学、土木工程、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管理科学与工程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材料科学与工程、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矿物加工工程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3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电子科学与技术、信息与通信工程、集成电路工程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机械工程、控制科学与技术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理工学院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物理学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化生学院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药学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化生学院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化学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化生学院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食品科学与工程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动物遗传育种与繁殖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（遗传育种方向）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35周岁以内，（1987年1月1日以后出生）。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动物遗传育种与繁殖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（胚胎工程方向）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35周岁以内，（1987年1月1日以后出生）。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土地资源管理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兽医学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具有执业兽医师资格证书或有动物医院临床工作经历者优先；35周岁以内，（1987年1月1日以后出生）。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环境科学、环境工程（大气污染治理或水污染控制方向）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生科学院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作物学（学科带头人）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  50周岁以内（1972年1月1日以后出生）。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医学院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基础医学、临床医学、生物学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具有生物学或医学类本科背景。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6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美容医学院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外科学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美容医学院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社会医学与卫生事业管理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40周岁以内，（1982年1月1日以后出生）。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体育学院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体育学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具有体育专业理论教学水平。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宗教文化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研究中心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宗教学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（佛教、道教、宗教原理方向）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高教研究所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专业技术岗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高等教育学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9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</w:rPr>
              <w:t>合计</w:t>
            </w:r>
          </w:p>
        </w:tc>
        <w:tc>
          <w:tcPr>
            <w:tcW w:w="13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30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253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720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sz w:val="21"/>
                <w:szCs w:val="21"/>
              </w:rPr>
              <w:t>60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四、引才条件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(一)基本条件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1.拥护中国共产党的领导和社会主义制度，遵守国家法律法规，有良好的品行和职业道德，具有正常履行岗位职责的身体条件;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报考人员所学专业的代码须与引才岗位所要求专业代码一致;若引才岗位按照专业大类设置专业条件，则该专业大类目录中的具体专业均可报考;若报考人员所学专业未列入专业目录，报考人员可选择引才岗位中相近专业报考，由用人单位及主管部门通过比对专业课程设置等方式，综合研判认定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第一类人才原则上年龄不超过55周岁(1967年1月1日以后出生)，第二类人才年龄不超过50周岁(1972年1月1日以后出生)，第三类人才年龄不超过48周岁(1974年1月1日以后出生)，除特别说明外，四、五类人才均要求在45周岁以内(1977年1月1日以后出生)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.在规定的学制内正常毕业并按期取得学历学位证书，博士研究生须在2022年12月31日前取得相应学历学位;国(境)外高校毕业生须在2022年12月31日前取得相应的学历学位和教育部留学服务中心出具的国(境)外学历学位认证书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5.服务期8年。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</w:rPr>
        <w:t>(二)有下列情形之一的人员不得报考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1.有组织、参与或支持损害国家安全、荣誉和利益行为的人员;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2.因犯罪受过刑事处罚的人员;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3.被开除中国共产党党籍、被开除公职或开除学籍的人员;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4.在校或工作期间有违法或严重违纪违规行为、学术不端和道德品行问题的人员;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5.被依法列为失信联合惩戒对象的人员;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6.法律法规规定不得报考的人员。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五、引才待遇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1.第一和第二类人才引进待遇，一人一议。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2.其他类人才引进待遇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解决事业编制，享受国家规定的工资、福利待遇，并根据聘用合同和考核结果享受如下待遇：</w:t>
      </w:r>
    </w:p>
    <w:tbl>
      <w:tblPr>
        <w:tblStyle w:val="9"/>
        <w:tblW w:w="17700" w:type="dxa"/>
        <w:tblInd w:w="0" w:type="dxa"/>
        <w:tblBorders>
          <w:top w:val="single" w:color="CCCCCC" w:sz="6" w:space="0"/>
          <w:left w:val="single" w:color="CCCCCC" w:sz="6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5"/>
        <w:gridCol w:w="3352"/>
        <w:gridCol w:w="6063"/>
        <w:gridCol w:w="2887"/>
        <w:gridCol w:w="3503"/>
      </w:tblGrid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87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人才类别</w:t>
            </w:r>
          </w:p>
        </w:tc>
        <w:tc>
          <w:tcPr>
            <w:tcW w:w="333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安家费及人才津贴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（税后）</w:t>
            </w:r>
          </w:p>
        </w:tc>
        <w:tc>
          <w:tcPr>
            <w:tcW w:w="603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博士津贴</w:t>
            </w:r>
          </w:p>
        </w:tc>
        <w:tc>
          <w:tcPr>
            <w:tcW w:w="2875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科研启动费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348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11"/>
                <w:color w:val="000000"/>
                <w:sz w:val="21"/>
                <w:szCs w:val="21"/>
              </w:rPr>
              <w:t>其他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第三类</w:t>
            </w:r>
          </w:p>
        </w:tc>
        <w:tc>
          <w:tcPr>
            <w:tcW w:w="324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40万-64万</w:t>
            </w:r>
          </w:p>
        </w:tc>
        <w:tc>
          <w:tcPr>
            <w:tcW w:w="5948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服务期内学位津贴1000元/月。到校后（服务期内）获得主持立项国家自然科学基金或国家社会科学基金课题，则学位津贴调整为3000元/月，发放期3年。</w:t>
            </w:r>
          </w:p>
        </w:tc>
        <w:tc>
          <w:tcPr>
            <w:tcW w:w="2785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文科7万、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理工科12万</w:t>
            </w:r>
          </w:p>
        </w:tc>
        <w:tc>
          <w:tcPr>
            <w:tcW w:w="3398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sz w:val="21"/>
                <w:szCs w:val="21"/>
              </w:rPr>
              <w:t>前三年享受七级副教授绩效工资，符合条件者可申报学校内聘教授，入选后可享受相应岗位绩效工资待遇。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179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第四类</w:t>
            </w:r>
          </w:p>
        </w:tc>
        <w:tc>
          <w:tcPr>
            <w:tcW w:w="324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35万-47万</w:t>
            </w:r>
          </w:p>
        </w:tc>
        <w:tc>
          <w:tcPr>
            <w:tcW w:w="594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78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9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9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第五类</w:t>
            </w:r>
          </w:p>
        </w:tc>
        <w:tc>
          <w:tcPr>
            <w:tcW w:w="3248" w:type="dxa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sz w:val="21"/>
                <w:szCs w:val="21"/>
              </w:rPr>
              <w:t>30万</w:t>
            </w:r>
          </w:p>
        </w:tc>
        <w:tc>
          <w:tcPr>
            <w:tcW w:w="594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785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9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left w:w="9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特别优秀等情形的博士，其配偶如具有研究生学历及硕士以上学位的可酌情安排工作。若为我校学科专业特别紧缺人才，可实行一人一议。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六、待遇支付方式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1.安家费第一年支持30%，余下部分7年平均支付;或凭购房合同全部用于预借购房款;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2.学位津贴随工资按月发放;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3.科研启动费使用按宜春学院科研经费管理有关办法进行。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七、录用程序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1.考试方式：采用面试、试讲、考察相结合方式。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2.体检：在学校指定的卫生机构体检。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3.录用：经考试、体检、考察合格，报上级人社部门及编制管理部门审核后，办理上编手续。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八、报名时间及方式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为确保您方便、快捷的应聘我校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投递邮箱：ycxyzpb@163.com，邮件名为：姓名+学历+应聘岗位+毕业学校及专业+高校师资网，并抄送至gxszwhr@163.com。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更多校园招聘信息请添加客服李老师微信号码：13718504267 了解关注！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截止时间：博士报名截止2022年12月31日。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九、其它事宜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若因新冠肺炎疫情等不可抗力，报考人员无法到现场进行面试、试讲、考察等程序的，采取视频审查、视频面试等方式组织引进工作，但须在正式录用前完成现场资格复审、体检等程序。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0909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shd w:val="clear" w:fill="750909"/>
        </w:rPr>
        <w:t>十、咨询联系方式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联系人：陈老师 孔老师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联系电话：0795-3202690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地址：江西省宜春市学府路576号 邮编：336000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敬请关注学校官方微信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drawing>
          <wp:inline distT="0" distB="0" distL="114300" distR="114300">
            <wp:extent cx="762000" cy="762000"/>
            <wp:effectExtent l="0" t="0" r="0" b="0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Style w:val="11"/>
          <w:rFonts w:ascii="微软雅黑" w:hAnsi="微软雅黑" w:eastAsia="微软雅黑" w:cs="微软雅黑"/>
          <w:i w:val="0"/>
          <w:iCs w:val="0"/>
          <w:caps w:val="0"/>
          <w:color w:val="FF0000"/>
          <w:spacing w:val="0"/>
          <w:sz w:val="30"/>
          <w:szCs w:val="30"/>
          <w:shd w:val="clear" w:fill="F3F3EB"/>
        </w:rPr>
        <w:t>QQ博士交流群：423550956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36"/>
          <w:szCs w:val="36"/>
          <w:shd w:val="clear" w:fill="F3F3EB"/>
        </w:rPr>
        <w:t>QQ硕士交流群</w:t>
      </w:r>
      <w:r>
        <w:rPr>
          <w:rStyle w:val="11"/>
          <w:rFonts w:ascii="Arial" w:hAnsi="Arial" w:eastAsia="宋体" w:cs="Arial"/>
          <w:i w:val="0"/>
          <w:iCs w:val="0"/>
          <w:caps w:val="0"/>
          <w:color w:val="FF0000"/>
          <w:spacing w:val="0"/>
          <w:sz w:val="36"/>
          <w:szCs w:val="36"/>
          <w:shd w:val="clear" w:fill="F3F3EB"/>
        </w:rPr>
        <w:t>： </w:t>
      </w:r>
      <w:r>
        <w:rPr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36"/>
          <w:szCs w:val="36"/>
          <w:shd w:val="clear" w:fill="F3F3EB"/>
        </w:rPr>
        <w:t>223486794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李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13718504267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5556885" cy="2506980"/>
            <wp:effectExtent l="0" t="0" r="5715" b="762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6885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B0373B9"/>
    <w:rsid w:val="1C59048D"/>
    <w:rsid w:val="1D7A0CFC"/>
    <w:rsid w:val="240E54C6"/>
    <w:rsid w:val="243877C4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846D97"/>
    <w:rsid w:val="3AB918A1"/>
    <w:rsid w:val="3BB37D4C"/>
    <w:rsid w:val="3C7F11ED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777E53"/>
    <w:rsid w:val="4AE47987"/>
    <w:rsid w:val="4AF01416"/>
    <w:rsid w:val="4C79125D"/>
    <w:rsid w:val="4CA321D6"/>
    <w:rsid w:val="4F551D79"/>
    <w:rsid w:val="52C1090F"/>
    <w:rsid w:val="530B538C"/>
    <w:rsid w:val="5324487A"/>
    <w:rsid w:val="53D0659F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3A0978"/>
    <w:rsid w:val="5BCF6CF7"/>
    <w:rsid w:val="5CA83573"/>
    <w:rsid w:val="5CD63BB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840129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2023-01-09T06:10:52Z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468A9DA0C1994F43A76EB771EE12B21B</vt:lpwstr>
  </property>
</Properties>
</file>